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发展新赛道是城市、园区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b/>
          <w:bCs/>
          <w:i w:val="0"/>
          <w:iCs w:val="0"/>
          <w:caps w:val="0"/>
          <w:color w:val="333333"/>
          <w:spacing w:val="8"/>
          <w:sz w:val="33"/>
          <w:szCs w:val="33"/>
        </w:rPr>
      </w:pPr>
      <w:r>
        <w:rPr>
          <w:rFonts w:hint="eastAsia" w:ascii="Microsoft YaHei UI" w:hAnsi="Microsoft YaHei UI" w:eastAsia="Microsoft YaHei UI" w:cs="Microsoft YaHei UI"/>
          <w:b/>
          <w:bCs/>
          <w:i w:val="0"/>
          <w:iCs w:val="0"/>
          <w:caps w:val="0"/>
          <w:color w:val="333333"/>
          <w:spacing w:val="8"/>
          <w:sz w:val="33"/>
          <w:szCs w:val="33"/>
          <w:bdr w:val="none" w:color="auto" w:sz="0" w:space="0"/>
          <w:shd w:val="clear" w:fill="FFFFFF"/>
        </w:rPr>
        <w:t>培育新动能、塑造新优势的重要路径</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Fonts w:hint="eastAsia" w:ascii="Helvetica" w:hAnsi="Helvetica" w:eastAsia="Helvetica" w:cs="Helvetica"/>
          <w:i w:val="0"/>
          <w:iCs w:val="0"/>
          <w:caps w:val="0"/>
          <w:color w:val="333333"/>
          <w:spacing w:val="3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Fonts w:hint="eastAsia" w:ascii="Helvetica" w:hAnsi="Helvetica" w:eastAsia="Helvetica" w:cs="Helvetica"/>
          <w:i w:val="0"/>
          <w:iCs w:val="0"/>
          <w:caps w:val="0"/>
          <w:color w:val="333333"/>
          <w:spacing w:val="30"/>
          <w:kern w:val="0"/>
          <w:sz w:val="21"/>
          <w:szCs w:val="21"/>
          <w:shd w:val="clear" w:fill="FFFFFF"/>
          <w:lang w:val="en-US" w:eastAsia="zh-CN" w:bidi="ar"/>
        </w:rPr>
      </w:pPr>
      <w:r>
        <w:rPr>
          <w:rFonts w:hint="eastAsia" w:ascii="Helvetica" w:hAnsi="Helvetica" w:eastAsia="Helvetica" w:cs="Helvetica"/>
          <w:i w:val="0"/>
          <w:iCs w:val="0"/>
          <w:caps w:val="0"/>
          <w:color w:val="333333"/>
          <w:spacing w:val="30"/>
          <w:kern w:val="0"/>
          <w:sz w:val="21"/>
          <w:szCs w:val="21"/>
          <w:shd w:val="clear" w:fill="FFFFFF"/>
          <w:lang w:val="en-US" w:eastAsia="zh-CN" w:bidi="ar"/>
        </w:rPr>
        <w:t>郝坤、杨阳等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Fonts w:hint="eastAsia" w:ascii="Helvetica" w:hAnsi="Helvetica" w:eastAsia="Helvetica" w:cs="Helvetica"/>
          <w:i w:val="0"/>
          <w:iCs w:val="0"/>
          <w:caps w:val="0"/>
          <w:color w:val="333333"/>
          <w:spacing w:val="30"/>
          <w:kern w:val="0"/>
          <w:sz w:val="21"/>
          <w:szCs w:val="21"/>
          <w:shd w:val="clear" w:fill="FFFFFF"/>
          <w:lang w:val="en-US" w:eastAsia="zh-CN" w:bidi="ar"/>
        </w:rPr>
      </w:pPr>
      <w:r>
        <w:rPr>
          <w:rFonts w:hint="eastAsia" w:ascii="Helvetica" w:hAnsi="Helvetica" w:eastAsia="Helvetica" w:cs="Helvetica"/>
          <w:i w:val="0"/>
          <w:iCs w:val="0"/>
          <w:caps w:val="0"/>
          <w:color w:val="333333"/>
          <w:spacing w:val="30"/>
          <w:kern w:val="0"/>
          <w:sz w:val="21"/>
          <w:szCs w:val="21"/>
          <w:shd w:val="clear" w:fill="FFFFFF"/>
          <w:lang w:val="en-US" w:eastAsia="zh-CN" w:bidi="ar"/>
        </w:rPr>
        <w:fldChar w:fldCharType="begin"/>
      </w:r>
      <w:r>
        <w:rPr>
          <w:rFonts w:hint="eastAsia" w:ascii="Helvetica" w:hAnsi="Helvetica" w:eastAsia="Helvetica" w:cs="Helvetica"/>
          <w:i w:val="0"/>
          <w:iCs w:val="0"/>
          <w:caps w:val="0"/>
          <w:color w:val="333333"/>
          <w:spacing w:val="30"/>
          <w:kern w:val="0"/>
          <w:sz w:val="21"/>
          <w:szCs w:val="21"/>
          <w:shd w:val="clear" w:fill="FFFFFF"/>
          <w:lang w:val="en-US" w:eastAsia="zh-CN" w:bidi="ar"/>
        </w:rPr>
        <w:instrText xml:space="preserve"> HYPERLINK "https://mp.weixin.qq.com/javascript:void(0);" </w:instrText>
      </w:r>
      <w:r>
        <w:rPr>
          <w:rFonts w:hint="eastAsia" w:ascii="Helvetica" w:hAnsi="Helvetica" w:eastAsia="Helvetica" w:cs="Helvetica"/>
          <w:i w:val="0"/>
          <w:iCs w:val="0"/>
          <w:caps w:val="0"/>
          <w:color w:val="333333"/>
          <w:spacing w:val="30"/>
          <w:kern w:val="0"/>
          <w:sz w:val="21"/>
          <w:szCs w:val="21"/>
          <w:shd w:val="clear" w:fill="FFFFFF"/>
          <w:lang w:val="en-US" w:eastAsia="zh-CN" w:bidi="ar"/>
        </w:rPr>
        <w:fldChar w:fldCharType="separate"/>
      </w:r>
      <w:r>
        <w:rPr>
          <w:rFonts w:hint="eastAsia" w:ascii="Helvetica" w:hAnsi="Helvetica" w:eastAsia="Helvetica" w:cs="Helvetica"/>
          <w:i w:val="0"/>
          <w:iCs w:val="0"/>
          <w:caps w:val="0"/>
          <w:color w:val="333333"/>
          <w:spacing w:val="30"/>
          <w:kern w:val="0"/>
          <w:sz w:val="21"/>
          <w:szCs w:val="21"/>
          <w:shd w:val="clear" w:fill="FFFFFF"/>
          <w:lang w:val="en-US" w:eastAsia="zh-CN" w:bidi="ar"/>
        </w:rPr>
        <w:t>长城智库</w:t>
      </w:r>
      <w:r>
        <w:rPr>
          <w:rFonts w:hint="eastAsia" w:ascii="Helvetica" w:hAnsi="Helvetica" w:eastAsia="Helvetica" w:cs="Helvetica"/>
          <w:i w:val="0"/>
          <w:iCs w:val="0"/>
          <w:caps w:val="0"/>
          <w:color w:val="333333"/>
          <w:spacing w:val="30"/>
          <w:kern w:val="0"/>
          <w:sz w:val="21"/>
          <w:szCs w:val="21"/>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center"/>
        <w:rPr>
          <w:rFonts w:hint="eastAsia" w:ascii="Helvetica" w:hAnsi="Helvetica" w:eastAsia="Helvetica" w:cs="Helvetica"/>
          <w:i w:val="0"/>
          <w:iCs w:val="0"/>
          <w:caps w:val="0"/>
          <w:color w:val="333333"/>
          <w:spacing w:val="30"/>
          <w:kern w:val="0"/>
          <w:sz w:val="21"/>
          <w:szCs w:val="21"/>
          <w:shd w:val="clear" w:fill="FFFFFF"/>
          <w:lang w:val="en-US" w:eastAsia="zh-CN" w:bidi="ar"/>
        </w:rPr>
      </w:pPr>
      <w:r>
        <w:rPr>
          <w:rFonts w:hint="eastAsia" w:ascii="Helvetica" w:hAnsi="Helvetica" w:eastAsia="Helvetica" w:cs="Helvetica"/>
          <w:i w:val="0"/>
          <w:iCs w:val="0"/>
          <w:caps w:val="0"/>
          <w:color w:val="333333"/>
          <w:spacing w:val="30"/>
          <w:kern w:val="0"/>
          <w:sz w:val="21"/>
          <w:szCs w:val="21"/>
          <w:shd w:val="clear" w:fill="FFFFFF"/>
          <w:lang w:val="en-US" w:eastAsia="zh-CN" w:bidi="ar"/>
        </w:rPr>
        <w:t>2021-11-29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right="0"/>
        <w:jc w:val="both"/>
        <w:rPr>
          <w:rFonts w:hint="default" w:ascii="Helvetica" w:hAnsi="Helvetica" w:eastAsia="Helvetica" w:cs="Helvetica"/>
          <w:i w:val="0"/>
          <w:iCs w:val="0"/>
          <w:caps w:val="0"/>
          <w:color w:val="333333"/>
          <w:spacing w:val="30"/>
          <w:sz w:val="21"/>
          <w:szCs w:val="21"/>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right="0" w:firstLine="540" w:firstLineChars="200"/>
        <w:jc w:val="both"/>
        <w:rPr>
          <w:rFonts w:hint="default" w:ascii="Helvetica" w:hAnsi="Helvetica" w:eastAsia="Helvetica" w:cs="Helvetica"/>
          <w:i w:val="0"/>
          <w:iCs w:val="0"/>
          <w:caps w:val="0"/>
          <w:color w:val="333333"/>
          <w:spacing w:val="30"/>
          <w:sz w:val="21"/>
          <w:szCs w:val="21"/>
          <w:bdr w:val="none" w:color="auto" w:sz="0" w:space="0"/>
          <w:shd w:val="clear" w:fill="FFFFFF"/>
        </w:rPr>
      </w:pPr>
      <w:r>
        <w:rPr>
          <w:rFonts w:hint="default" w:ascii="Helvetica" w:hAnsi="Helvetica" w:eastAsia="Helvetica" w:cs="Helvetica"/>
          <w:i w:val="0"/>
          <w:iCs w:val="0"/>
          <w:caps w:val="0"/>
          <w:color w:val="333333"/>
          <w:spacing w:val="30"/>
          <w:sz w:val="21"/>
          <w:szCs w:val="21"/>
          <w:bdr w:val="none" w:color="auto" w:sz="0" w:space="0"/>
          <w:shd w:val="clear" w:fill="FFFFFF"/>
        </w:rPr>
        <w:t>十四五”时期，我国加快发展现代产业体系，着眼于抢占未来产业发展先机，发展壮大战略性新兴产业，培育壮大产业发展新动能。新赛道是场景赋能、数字驱动的新产业，是新兴产业中最具引领力、最具爆发性的领域，是现代产业体系的重要组成部分。如何培育和发展新赛道，利用新经济的理念和逻辑，塑造特有竞争优势、走在全球创新前沿、加快形成新动能对城市和园区意义重大。</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Style w:val="7"/>
          <w:rFonts w:hint="default" w:ascii="Helvetica" w:hAnsi="Helvetica" w:eastAsia="Helvetica" w:cs="Helvetica"/>
          <w:i w:val="0"/>
          <w:iCs w:val="0"/>
          <w:caps w:val="0"/>
          <w:color w:val="0000FF"/>
          <w:spacing w:val="30"/>
          <w:sz w:val="21"/>
          <w:szCs w:val="21"/>
          <w:bdr w:val="none" w:color="auto" w:sz="0" w:space="0"/>
          <w:shd w:val="clear" w:fill="FFFFFF"/>
        </w:rPr>
      </w:pPr>
      <w:r>
        <w:rPr>
          <w:rStyle w:val="7"/>
          <w:rFonts w:hint="default" w:ascii="Helvetica" w:hAnsi="Helvetica" w:eastAsia="Helvetica" w:cs="Helvetica"/>
          <w:i w:val="0"/>
          <w:iCs w:val="0"/>
          <w:caps w:val="0"/>
          <w:color w:val="0000FF"/>
          <w:spacing w:val="30"/>
          <w:sz w:val="21"/>
          <w:szCs w:val="21"/>
          <w:bdr w:val="none" w:color="auto" w:sz="0" w:space="0"/>
          <w:shd w:val="clear" w:fill="FFFFFF"/>
        </w:rPr>
        <w:t>当前城市和园区培育新动能面临两大问题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一是大部分城市和园区对新经济的认知不够</w:t>
      </w:r>
      <w:r>
        <w:rPr>
          <w:rFonts w:hint="default" w:ascii="Helvetica" w:hAnsi="Helvetica" w:eastAsia="Helvetica" w:cs="Helvetica"/>
          <w:i w:val="0"/>
          <w:iCs w:val="0"/>
          <w:caps w:val="0"/>
          <w:color w:val="333333"/>
          <w:spacing w:val="30"/>
          <w:sz w:val="21"/>
          <w:szCs w:val="21"/>
          <w:bdr w:val="none" w:color="auto" w:sz="0" w:space="0"/>
          <w:shd w:val="clear" w:fill="FFFFFF"/>
        </w:rPr>
        <w:t>。当前，我国仍有大多数城市和园区对新经济的思想认识和敏锐性不够，对新涌现的新产业新业态、新物种企业不敏感、不重视，认为新经济对整体经济带动有限，尚未从新经济发展的规律、趋势来谋划今后发展。但是，认知升维是新时期高质量发展的一条基本规律，只有实现认知升维，提升对新经济事物的敏感度及反应能力，从更高维度上把握和理解新经济现象，才能在“十四五”以及中长期超前谋划培育发展新动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1"/>
          <w:szCs w:val="21"/>
          <w:bdr w:val="none" w:color="auto" w:sz="0" w:space="0"/>
          <w:shd w:val="clear" w:fill="FFFFFF"/>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二是部分城市和园区对新动能培育尚未形成系统性的工作抓手</w:t>
      </w:r>
      <w:r>
        <w:rPr>
          <w:rFonts w:hint="default" w:ascii="Helvetica" w:hAnsi="Helvetica" w:eastAsia="Helvetica" w:cs="Helvetica"/>
          <w:i w:val="0"/>
          <w:iCs w:val="0"/>
          <w:caps w:val="0"/>
          <w:color w:val="333333"/>
          <w:spacing w:val="30"/>
          <w:sz w:val="21"/>
          <w:szCs w:val="21"/>
          <w:bdr w:val="none" w:color="auto" w:sz="0" w:space="0"/>
          <w:shd w:val="clear" w:fill="FFFFFF"/>
        </w:rPr>
        <w:t>。部分城市和园区仅将新经济作为一个口号，政府层面缺乏实质性举措和战略布局。新动能的培育需要良好的创新创业生态，这种生态需要用系统性的思维去营建。新经济背景下，创业、研发、服务是创新创业生态的三大核心。创业者的想象力和洞见力催生新场景，研发的水平和效率决定了创业的技术含量，科技服务黏合研发和创业。创业活跃、研发高效、服务完善的创新创业生态催生跨界，最终表现为新物种企业的产生、新赛道的涌现，形成新动能，同时，新经济制度会为新物种企业的成长、新赛道的发展提供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Style w:val="7"/>
          <w:rFonts w:hint="default" w:ascii="Helvetica" w:hAnsi="Helvetica" w:eastAsia="Helvetica" w:cs="Helvetica"/>
          <w:i w:val="0"/>
          <w:iCs w:val="0"/>
          <w:caps w:val="0"/>
          <w:color w:val="333333"/>
          <w:spacing w:val="30"/>
          <w:sz w:val="21"/>
          <w:szCs w:val="21"/>
          <w:bdr w:val="none" w:color="auto" w:sz="0" w:space="0"/>
          <w:shd w:val="clear" w:fill="FFFFFF"/>
        </w:rPr>
      </w:pPr>
      <w:r>
        <w:rPr>
          <w:rFonts w:hint="eastAsia" w:ascii="Helvetica" w:hAnsi="Helvetica" w:eastAsia="宋体" w:cs="Helvetica"/>
          <w:i w:val="0"/>
          <w:iCs w:val="0"/>
          <w:caps w:val="0"/>
          <w:color w:val="0000FF"/>
          <w:spacing w:val="30"/>
          <w:sz w:val="21"/>
          <w:szCs w:val="21"/>
          <w:bdr w:val="none" w:color="auto" w:sz="0" w:space="0"/>
          <w:shd w:val="clear" w:fill="FFFFFF"/>
          <w:lang w:val="en-US" w:eastAsia="zh-CN"/>
        </w:rPr>
        <w:t>二、</w:t>
      </w:r>
      <w:r>
        <w:rPr>
          <w:rStyle w:val="7"/>
          <w:rFonts w:hint="default" w:ascii="Helvetica" w:hAnsi="Helvetica" w:eastAsia="Helvetica" w:cs="Helvetica"/>
          <w:i w:val="0"/>
          <w:iCs w:val="0"/>
          <w:caps w:val="0"/>
          <w:color w:val="0000FF"/>
          <w:spacing w:val="30"/>
          <w:sz w:val="21"/>
          <w:szCs w:val="21"/>
          <w:bdr w:val="none" w:color="auto" w:sz="0" w:space="0"/>
          <w:shd w:val="clear" w:fill="FFFFFF"/>
        </w:rPr>
        <w:t>新赛道是数据驱动产业出现的新现象，是经济发展中涌现的新动能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Fonts w:hint="default" w:ascii="Helvetica" w:hAnsi="Helvetica" w:eastAsia="Helvetica" w:cs="Helvetica"/>
          <w:i w:val="0"/>
          <w:iCs w:val="0"/>
          <w:caps w:val="0"/>
          <w:color w:val="333333"/>
          <w:spacing w:val="30"/>
          <w:sz w:val="21"/>
          <w:szCs w:val="21"/>
          <w:bdr w:val="none" w:color="auto" w:sz="0" w:space="0"/>
          <w:shd w:val="clear" w:fill="FFFFFF"/>
        </w:rPr>
        <w:t>新赛道是面向未来的、具有跨界属性的、投资机构关注的、有爆发式增长潜力和海量市场前景的新产业。新赛道形成与发展机制完全不同于产业链、产业集群发展机制，其形成体现为数据驱动、跨界爆发的“新场景赋能-新物种涌现-新赛道形成”新经济产业发展路径。新赛道的发展，将成为现代产业体系的重要构成以及优化提升现有经济体系的重要支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新场景为新赛道的形成提供基础设施。</w:t>
      </w:r>
      <w:r>
        <w:rPr>
          <w:rFonts w:hint="default" w:ascii="Helvetica" w:hAnsi="Helvetica" w:eastAsia="Helvetica" w:cs="Helvetica"/>
          <w:i w:val="0"/>
          <w:iCs w:val="0"/>
          <w:caps w:val="0"/>
          <w:color w:val="333333"/>
          <w:spacing w:val="30"/>
          <w:sz w:val="21"/>
          <w:szCs w:val="21"/>
          <w:bdr w:val="none" w:color="auto" w:sz="0" w:space="0"/>
          <w:shd w:val="clear" w:fill="FFFFFF"/>
        </w:rPr>
        <w:t>场景把人才、资本、技术、政策等创新相关的要素及供需有机结合，形成新赛道涌现和发展所需的创新生态环境。场景的出现代表着大量的技术人员和投资人对同一赛道的发展达成共识。市场化、专业化、平台化的产业促进组织通过链接各类创新主体和要素促进场景创新和落地，加速新赛道中新技术、新产品、新模式商业化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新物种企业是场景创新最原始的动力。</w:t>
      </w:r>
      <w:r>
        <w:rPr>
          <w:rFonts w:hint="default" w:ascii="Helvetica" w:hAnsi="Helvetica" w:eastAsia="Helvetica" w:cs="Helvetica"/>
          <w:i w:val="0"/>
          <w:iCs w:val="0"/>
          <w:caps w:val="0"/>
          <w:color w:val="333333"/>
          <w:spacing w:val="30"/>
          <w:sz w:val="21"/>
          <w:szCs w:val="21"/>
          <w:bdr w:val="none" w:color="auto" w:sz="0" w:space="0"/>
          <w:shd w:val="clear" w:fill="FFFFFF"/>
        </w:rPr>
        <w:t>伟大的创业者与新物种企业是技术与市场的最佳连接者，是场景创新最原始的动力。场景创新不仅仅是挖掘需求，还必须通过伟大创业者和新物种企业的洞见和创意，找到解决问题的小切口，进而联合投资人共同解决难题，实现场景创新。在场景创新过程中实现技术的突破、熟化和商业化迭代应用，进而又带动更多新物种企业接续场景创新，并涌现集聚和爆发式成长。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1"/>
          <w:szCs w:val="21"/>
          <w:bdr w:val="none" w:color="auto" w:sz="0" w:space="0"/>
          <w:shd w:val="clear" w:fill="FFFFFF"/>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新物种企业在某一领域集中形成新赛道。</w:t>
      </w:r>
      <w:r>
        <w:rPr>
          <w:rFonts w:hint="default" w:ascii="Helvetica" w:hAnsi="Helvetica" w:eastAsia="Helvetica" w:cs="Helvetica"/>
          <w:i w:val="0"/>
          <w:iCs w:val="0"/>
          <w:caps w:val="0"/>
          <w:color w:val="333333"/>
          <w:spacing w:val="30"/>
          <w:sz w:val="21"/>
          <w:szCs w:val="21"/>
          <w:bdr w:val="none" w:color="auto" w:sz="0" w:space="0"/>
          <w:shd w:val="clear" w:fill="FFFFFF"/>
        </w:rPr>
        <w:t>新物种企业的集聚是新赛道形成的重要标志，当新物种企业在某一领域持续集中、爆发，开辟出千亿甚至万亿级的市场，新赛道便形成了。独角兽企业是新赛道的引领者，以新技术、新场景、新消费重塑价值链，实现突围崛起，带动新赛道爆发成长为主赛道。哪吒企业、潜在独角兽企业表现出强大的发展潜力和科技创新属性，是新赛道的开拓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Style w:val="7"/>
          <w:rFonts w:hint="default" w:ascii="Helvetica" w:hAnsi="Helvetica" w:eastAsia="Helvetica" w:cs="Helvetica"/>
          <w:i w:val="0"/>
          <w:iCs w:val="0"/>
          <w:caps w:val="0"/>
          <w:color w:val="0000FF"/>
          <w:spacing w:val="30"/>
          <w:sz w:val="21"/>
          <w:szCs w:val="21"/>
          <w:bdr w:val="none" w:color="auto" w:sz="0" w:space="0"/>
          <w:shd w:val="clear" w:fill="FFFFFF"/>
        </w:rPr>
      </w:pPr>
      <w:r>
        <w:rPr>
          <w:rStyle w:val="7"/>
          <w:rFonts w:ascii="宋体" w:hAnsi="宋体" w:eastAsia="宋体" w:cs="宋体"/>
          <w:color w:val="0000FF"/>
          <w:kern w:val="0"/>
          <w:sz w:val="24"/>
          <w:szCs w:val="24"/>
          <w:bdr w:val="none" w:color="auto" w:sz="0" w:space="0"/>
          <w:lang w:val="en-US" w:eastAsia="zh-CN" w:bidi="ar"/>
        </w:rPr>
        <w:t>三</w:t>
      </w:r>
      <w:r>
        <w:rPr>
          <w:rStyle w:val="7"/>
          <w:rFonts w:hint="eastAsia" w:ascii="宋体" w:hAnsi="宋体" w:eastAsia="宋体" w:cs="宋体"/>
          <w:color w:val="0000FF"/>
          <w:kern w:val="0"/>
          <w:sz w:val="24"/>
          <w:szCs w:val="24"/>
          <w:bdr w:val="none" w:color="auto" w:sz="0" w:space="0"/>
          <w:lang w:val="en-US" w:eastAsia="zh-CN" w:bidi="ar"/>
        </w:rPr>
        <w:t>、</w:t>
      </w:r>
      <w:r>
        <w:rPr>
          <w:rStyle w:val="7"/>
          <w:rFonts w:hint="default" w:ascii="Helvetica" w:hAnsi="Helvetica" w:eastAsia="Helvetica" w:cs="Helvetica"/>
          <w:i w:val="0"/>
          <w:iCs w:val="0"/>
          <w:caps w:val="0"/>
          <w:color w:val="0000FF"/>
          <w:spacing w:val="30"/>
          <w:sz w:val="21"/>
          <w:szCs w:val="21"/>
          <w:bdr w:val="none" w:color="auto" w:sz="0" w:space="0"/>
          <w:shd w:val="clear" w:fill="FFFFFF"/>
        </w:rPr>
        <w:t>培育新赛道、塑造新动能的典型实践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北京中关村基于活跃的创新创业生态，以政策创新和场景布局加速新赛道涌现。</w:t>
      </w:r>
      <w:r>
        <w:rPr>
          <w:rFonts w:hint="default" w:ascii="Helvetica" w:hAnsi="Helvetica" w:eastAsia="Helvetica" w:cs="Helvetica"/>
          <w:i w:val="0"/>
          <w:iCs w:val="0"/>
          <w:caps w:val="0"/>
          <w:color w:val="333333"/>
          <w:spacing w:val="30"/>
          <w:sz w:val="21"/>
          <w:szCs w:val="21"/>
          <w:bdr w:val="none" w:color="auto" w:sz="0" w:space="0"/>
          <w:shd w:val="clear" w:fill="FFFFFF"/>
        </w:rPr>
        <w:t>有关政府部门围绕首创产品的市场应用、高价值专利的运营、对耐心资本的支持等方面进行系列制度突破，并在数字经济监管治理、应用场景建设等方面试点示范，重点建设智慧城市、“科技冬奥”、智慧园区、智能工厂、智慧医院、智慧民生和京津冀协同7个创新应用场景。各主体在活跃的双创生态中开展创新活动，在多元化应用场景中实现融合突破，促使AI+医疗、AI+家居、AI+驾驶、AI+零售等新赛道涌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南京高新区以新型研发机构为先手棋，以新物种企业为引领，成为南京市新赛道涌现和发展的主战场</w:t>
      </w:r>
      <w:r>
        <w:rPr>
          <w:rFonts w:hint="default" w:ascii="Helvetica" w:hAnsi="Helvetica" w:eastAsia="Helvetica" w:cs="Helvetica"/>
          <w:i w:val="0"/>
          <w:iCs w:val="0"/>
          <w:caps w:val="0"/>
          <w:color w:val="333333"/>
          <w:spacing w:val="30"/>
          <w:sz w:val="21"/>
          <w:szCs w:val="21"/>
          <w:bdr w:val="none" w:color="auto" w:sz="0" w:space="0"/>
          <w:shd w:val="clear" w:fill="FFFFFF"/>
        </w:rPr>
        <w:t>。南京高新区面向全球汇集高端创新资源，依托重大创新平台、院士等高层次人才，鼓励多元化市场主体共建新型研发机构，以新型研发机构为核心形成了若干产业微生态和创新微生态，孕育未来产业和新赛道。如通过苏宁、五星控股等大企业平台化培育孵化出汇通达、好享家、孩子王、苏宁体育、T3出行等独角兽企业，引领着服务业互联网、智慧家庭、母婴电商、智能网联汽车等新赛道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1"/>
          <w:szCs w:val="21"/>
          <w:bdr w:val="none" w:color="auto" w:sz="0" w:space="0"/>
          <w:shd w:val="clear" w:fill="FFFFFF"/>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杭州市通过制度创新、开放场景与数据等方式培育发展新赛道</w:t>
      </w:r>
      <w:r>
        <w:rPr>
          <w:rFonts w:hint="default" w:ascii="Helvetica" w:hAnsi="Helvetica" w:eastAsia="Helvetica" w:cs="Helvetica"/>
          <w:i w:val="0"/>
          <w:iCs w:val="0"/>
          <w:caps w:val="0"/>
          <w:color w:val="333333"/>
          <w:spacing w:val="30"/>
          <w:sz w:val="21"/>
          <w:szCs w:val="21"/>
          <w:bdr w:val="none" w:color="auto" w:sz="0" w:space="0"/>
          <w:shd w:val="clear" w:fill="FFFFFF"/>
        </w:rPr>
        <w:t>。2017年杭州市率先出台全国首部跨境电商的地方性法规《杭州跨境电商促进条例》，支持跨境电商新赛道发展。2018年杭州市与阿里云合作打造城市大脑，政府对阿里云开放相关数据资源和场景，阿里云提供云和大数据等相关技术，联合海康威视、数梦工场、银杏谷资本等多家企业共同成功研发城市大脑解决方案。发展至今，杭州城市大脑逐渐从交通延伸至医疗服务、政务服务等各种领域，从 1.0 迭代到 3.0，通过城市大脑场景孕育出AI解决方案、大数据、云计算、互联网医院等38个新赛道。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0000FF"/>
          <w:spacing w:val="30"/>
          <w:sz w:val="24"/>
          <w:szCs w:val="24"/>
        </w:rPr>
      </w:pPr>
      <w:r>
        <w:rPr>
          <w:rStyle w:val="7"/>
          <w:rFonts w:ascii="宋体" w:hAnsi="宋体" w:eastAsia="宋体" w:cs="宋体"/>
          <w:color w:val="0000FF"/>
          <w:kern w:val="0"/>
          <w:sz w:val="24"/>
          <w:szCs w:val="24"/>
          <w:bdr w:val="none" w:color="auto" w:sz="0" w:space="0"/>
          <w:lang w:val="en-US" w:eastAsia="zh-CN" w:bidi="ar"/>
        </w:rPr>
        <w:t>四</w:t>
      </w:r>
      <w:r>
        <w:rPr>
          <w:rStyle w:val="7"/>
          <w:rFonts w:hint="eastAsia" w:ascii="宋体" w:hAnsi="宋体" w:eastAsia="宋体" w:cs="宋体"/>
          <w:color w:val="0000FF"/>
          <w:kern w:val="0"/>
          <w:sz w:val="24"/>
          <w:szCs w:val="24"/>
          <w:bdr w:val="none" w:color="auto" w:sz="0" w:space="0"/>
          <w:lang w:val="en-US" w:eastAsia="zh-CN" w:bidi="ar"/>
        </w:rPr>
        <w:t>、</w:t>
      </w:r>
      <w:r>
        <w:rPr>
          <w:rStyle w:val="7"/>
          <w:rFonts w:hint="default" w:ascii="Helvetica" w:hAnsi="Helvetica" w:eastAsia="Helvetica" w:cs="Helvetica"/>
          <w:i w:val="0"/>
          <w:iCs w:val="0"/>
          <w:caps w:val="0"/>
          <w:color w:val="0000FF"/>
          <w:spacing w:val="30"/>
          <w:sz w:val="21"/>
          <w:szCs w:val="21"/>
          <w:bdr w:val="none" w:color="auto" w:sz="0" w:space="0"/>
          <w:shd w:val="clear" w:fill="FFFFFF"/>
        </w:rPr>
        <w:t>对城市和园区进行新赛道选择和培育的若干建议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Fonts w:hint="default" w:ascii="Helvetica" w:hAnsi="Helvetica" w:eastAsia="Helvetica" w:cs="Helvetica"/>
          <w:i w:val="0"/>
          <w:iCs w:val="0"/>
          <w:caps w:val="0"/>
          <w:color w:val="333333"/>
          <w:spacing w:val="30"/>
          <w:sz w:val="21"/>
          <w:szCs w:val="21"/>
          <w:bdr w:val="none" w:color="auto" w:sz="0" w:space="0"/>
          <w:shd w:val="clear" w:fill="FFFFFF"/>
        </w:rPr>
        <w:t>新赛道作为新经济时代涌现的新兴事物及现代产业体系的重要构成部分，政府应把培育和发展新赛道作为发展新经济、培育新动能的重要抓手，建议从以下几个方面发力：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一是加强新经济认知升维。</w:t>
      </w:r>
      <w:r>
        <w:rPr>
          <w:rFonts w:hint="default" w:ascii="Helvetica" w:hAnsi="Helvetica" w:eastAsia="Helvetica" w:cs="Helvetica"/>
          <w:i w:val="0"/>
          <w:iCs w:val="0"/>
          <w:caps w:val="0"/>
          <w:color w:val="333333"/>
          <w:spacing w:val="30"/>
          <w:sz w:val="21"/>
          <w:szCs w:val="21"/>
          <w:bdr w:val="none" w:color="auto" w:sz="0" w:space="0"/>
          <w:shd w:val="clear" w:fill="FFFFFF"/>
        </w:rPr>
        <w:t>重视新经济相关培训产品，支持政府干部、企业家、社会大众等各类主体积极参与新经济相关培训，学习新思维、新治理、新赛道、新场景、新制度等内容，提升对新经济事物的敏感度及反应能力。培养一批懂新经济的领导和干部，实现对当地新经济未来发展的有效指引。“重原则，而不重已有规则”，尊重市场中涌现的各种创新性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二是建设新赛道与未来产业促进中心。</w:t>
      </w:r>
      <w:r>
        <w:rPr>
          <w:rFonts w:hint="default" w:ascii="Helvetica" w:hAnsi="Helvetica" w:eastAsia="Helvetica" w:cs="Helvetica"/>
          <w:i w:val="0"/>
          <w:iCs w:val="0"/>
          <w:caps w:val="0"/>
          <w:color w:val="333333"/>
          <w:spacing w:val="30"/>
          <w:sz w:val="21"/>
          <w:szCs w:val="21"/>
          <w:bdr w:val="none" w:color="auto" w:sz="0" w:space="0"/>
          <w:shd w:val="clear" w:fill="FFFFFF"/>
        </w:rPr>
        <w:t>发挥智库力量，联合共建区域新赛道与未来产业促进中心，开展新赛道与未来产业研究与策划、培育促进、前沿科技成果发掘、决策咨询支撑、生态资源链接、品牌活动打造等各类工作，逐步建立并完善多元化服务体系。加强对新赛道与未来产业长期跟踪研判，发布新赛道与未来产业年度报告或白皮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三是引导多元力量参与赛道选择</w:t>
      </w:r>
      <w:r>
        <w:rPr>
          <w:rFonts w:hint="default" w:ascii="Helvetica" w:hAnsi="Helvetica" w:eastAsia="Helvetica" w:cs="Helvetica"/>
          <w:i w:val="0"/>
          <w:iCs w:val="0"/>
          <w:caps w:val="0"/>
          <w:color w:val="333333"/>
          <w:spacing w:val="30"/>
          <w:sz w:val="21"/>
          <w:szCs w:val="21"/>
          <w:bdr w:val="none" w:color="auto" w:sz="0" w:space="0"/>
          <w:shd w:val="clear" w:fill="FFFFFF"/>
        </w:rPr>
        <w:t>。要吸纳科学家、创业者、社会投资人、民间智库等多元力量参与，通过组织开展专题调研或新赛道头脑风暴会等方式，发现新赛道、评估新赛道，并依托智库对新赛道进行未来研究，提升对新赛道的敏感性和判断力。关注并尊重各类市场主体的选择，采取跟进式选择的方式来布局新赛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四是要搭建具有小切口特征的应用场景</w:t>
      </w:r>
      <w:r>
        <w:rPr>
          <w:rFonts w:hint="default" w:ascii="Helvetica" w:hAnsi="Helvetica" w:eastAsia="Helvetica" w:cs="Helvetica"/>
          <w:i w:val="0"/>
          <w:iCs w:val="0"/>
          <w:caps w:val="0"/>
          <w:color w:val="333333"/>
          <w:spacing w:val="30"/>
          <w:sz w:val="21"/>
          <w:szCs w:val="21"/>
          <w:bdr w:val="none" w:color="auto" w:sz="0" w:space="0"/>
          <w:shd w:val="clear" w:fill="FFFFFF"/>
        </w:rPr>
        <w:t>。设立场景实验室、建设场景创新促进中心等场景创新组织，定期向社会发布解决本地难题的具有小切口特征的场景机会清单，加速实现本地新赛道中的新技术、新产品、新模式的商业化应用，进而快速实现垂直领域的市场拓展。鼓励企业、智库等多元社会主体参与场景创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五是重视新物种企业引进和培育</w:t>
      </w:r>
      <w:r>
        <w:rPr>
          <w:rFonts w:hint="default" w:ascii="Helvetica" w:hAnsi="Helvetica" w:eastAsia="Helvetica" w:cs="Helvetica"/>
          <w:i w:val="0"/>
          <w:iCs w:val="0"/>
          <w:caps w:val="0"/>
          <w:color w:val="333333"/>
          <w:spacing w:val="30"/>
          <w:sz w:val="21"/>
          <w:szCs w:val="21"/>
          <w:bdr w:val="none" w:color="auto" w:sz="0" w:space="0"/>
          <w:shd w:val="clear" w:fill="FFFFFF"/>
        </w:rPr>
        <w:t>。联合市场化专业化力量，设计并采用新物种企业的发现和培育机制，出台哪吒企业、潜在独角兽企业、独角兽企业等新物种企业的专项支持政策，支持第三方专业机构为新物种企业适时提供专业化辅导与服务。不定期开展新物种企业平行对接会，筛选与区域或园区新赛道领域相匹配的企业，通过举办资源链接会等方式，引进一批新物种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600"/>
        <w:jc w:val="both"/>
        <w:rPr>
          <w:rFonts w:hint="default" w:ascii="Helvetica" w:hAnsi="Helvetica" w:eastAsia="Helvetica" w:cs="Helvetica"/>
          <w:i w:val="0"/>
          <w:iCs w:val="0"/>
          <w:caps w:val="0"/>
          <w:color w:val="333333"/>
          <w:spacing w:val="30"/>
          <w:sz w:val="25"/>
          <w:szCs w:val="25"/>
        </w:rPr>
      </w:pPr>
      <w:r>
        <w:rPr>
          <w:rStyle w:val="7"/>
          <w:rFonts w:hint="default" w:ascii="Helvetica" w:hAnsi="Helvetica" w:eastAsia="Helvetica" w:cs="Helvetica"/>
          <w:i w:val="0"/>
          <w:iCs w:val="0"/>
          <w:caps w:val="0"/>
          <w:color w:val="333333"/>
          <w:spacing w:val="30"/>
          <w:sz w:val="21"/>
          <w:szCs w:val="21"/>
          <w:bdr w:val="none" w:color="auto" w:sz="0" w:space="0"/>
          <w:shd w:val="clear" w:fill="FFFFFF"/>
        </w:rPr>
        <w:t>六是强化创新创业生态建设</w:t>
      </w:r>
      <w:r>
        <w:rPr>
          <w:rFonts w:hint="default" w:ascii="Helvetica" w:hAnsi="Helvetica" w:eastAsia="Helvetica" w:cs="Helvetica"/>
          <w:i w:val="0"/>
          <w:iCs w:val="0"/>
          <w:caps w:val="0"/>
          <w:color w:val="333333"/>
          <w:spacing w:val="30"/>
          <w:sz w:val="21"/>
          <w:szCs w:val="21"/>
          <w:bdr w:val="none" w:color="auto" w:sz="0" w:space="0"/>
          <w:shd w:val="clear" w:fill="FFFFFF"/>
        </w:rPr>
        <w:t>。推动前沿技术创业，从创业热点领域洞见新赛道。集聚一批平台化、专业化服务机构，支持新型研发机构、研发创新中心等产业创新组织的发展。建立与新赛道发展相匹配的新经济制度及多元共治模式，打造市场有效、政府有为、企业有利、协同高效的发展环境。定期评估区域创新创业生态活跃度，基于评估结果补短板、强弱项，持续强化创新创业生态建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F73F56"/>
    <w:multiLevelType w:val="singleLevel"/>
    <w:tmpl w:val="55F73F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44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2021-12-21T07:59:05Z</dcterms:created>
  <dc:creator>DELL</dc:creator>
  <cp:lastModifiedBy>曹争鸣</cp:lastModifiedBy>
  <dcterms:modified xsi:type="dcterms:W3CDTF">2021-12-21T08:02:49Z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C98B4D96A8BB491699C80EDAB66E97E0</vt:lpwstr>
  </property>
</Properties>
</file>