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color w:val="000000" w:themeColor="text1"/>
          <w:sz w:val="33"/>
          <w:szCs w:val="33"/>
          <w14:textFill>
            <w14:solidFill>
              <w14:schemeClr w14:val="tx1"/>
            </w14:solidFill>
          </w14:textFill>
        </w:rPr>
      </w:pPr>
      <w:bookmarkStart w:id="0" w:name="_GoBack"/>
      <w:r>
        <w:rPr>
          <w:b/>
          <w:bCs/>
          <w:i w:val="0"/>
          <w:iCs w:val="0"/>
          <w:caps w:val="0"/>
          <w:color w:val="000000" w:themeColor="text1"/>
          <w:spacing w:val="8"/>
          <w:sz w:val="33"/>
          <w:szCs w:val="33"/>
          <w:bdr w:val="none" w:color="auto" w:sz="0" w:space="0"/>
          <w:shd w:val="clear" w:fill="FFFFFF"/>
          <w14:textFill>
            <w14:solidFill>
              <w14:schemeClr w14:val="tx1"/>
            </w14:solidFill>
          </w14:textFill>
        </w:rPr>
        <w:t>乡村振兴可申报的43项国家项目补贴</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ascii="Microsoft YaHei UI" w:hAnsi="Microsoft YaHei UI" w:eastAsia="Microsoft YaHei UI" w:cs="Microsoft YaHei UI"/>
          <w:i w:val="0"/>
          <w:iCs w:val="0"/>
          <w:caps w:val="0"/>
          <w:color w:val="000000" w:themeColor="text1"/>
          <w:spacing w:val="8"/>
          <w:sz w:val="0"/>
          <w:szCs w:val="0"/>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kern w:val="0"/>
          <w:sz w:val="22"/>
          <w:szCs w:val="22"/>
          <w:u w:val="none"/>
          <w:bdr w:val="none" w:color="auto" w:sz="0" w:space="0"/>
          <w:shd w:val="clear" w:fill="FFFFFF"/>
          <w:lang w:val="en-US" w:eastAsia="zh-CN" w:bidi="ar"/>
          <w14:textFill>
            <w14:solidFill>
              <w14:schemeClr w14:val="tx1"/>
            </w14:solidFill>
          </w14:textFill>
        </w:rPr>
        <w:fldChar w:fldCharType="begin"/>
      </w:r>
      <w:r>
        <w:rPr>
          <w:rFonts w:hint="eastAsia" w:ascii="Microsoft YaHei UI" w:hAnsi="Microsoft YaHei UI" w:eastAsia="Microsoft YaHei UI" w:cs="Microsoft YaHei UI"/>
          <w:i w:val="0"/>
          <w:iCs w:val="0"/>
          <w:caps w:val="0"/>
          <w:color w:val="000000" w:themeColor="text1"/>
          <w:spacing w:val="8"/>
          <w:kern w:val="0"/>
          <w:sz w:val="22"/>
          <w:szCs w:val="22"/>
          <w:u w:val="none"/>
          <w:bdr w:val="none" w:color="auto" w:sz="0" w:space="0"/>
          <w:shd w:val="clear" w:fill="FFFFFF"/>
          <w:lang w:val="en-US" w:eastAsia="zh-CN" w:bidi="ar"/>
          <w14:textFill>
            <w14:solidFill>
              <w14:schemeClr w14:val="tx1"/>
            </w14:solidFill>
          </w14:textFill>
        </w:rPr>
        <w:instrText xml:space="preserve"> HYPERLINK "https://mp.weixin.qq.com/javascript:void(0);" </w:instrText>
      </w:r>
      <w:r>
        <w:rPr>
          <w:rFonts w:hint="eastAsia" w:ascii="Microsoft YaHei UI" w:hAnsi="Microsoft YaHei UI" w:eastAsia="Microsoft YaHei UI" w:cs="Microsoft YaHei UI"/>
          <w:i w:val="0"/>
          <w:iCs w:val="0"/>
          <w:caps w:val="0"/>
          <w:color w:val="000000" w:themeColor="text1"/>
          <w:spacing w:val="8"/>
          <w:kern w:val="0"/>
          <w:sz w:val="22"/>
          <w:szCs w:val="22"/>
          <w:u w:val="none"/>
          <w:bdr w:val="none" w:color="auto" w:sz="0" w:space="0"/>
          <w:shd w:val="clear" w:fill="FFFFFF"/>
          <w:lang w:val="en-US" w:eastAsia="zh-CN" w:bidi="ar"/>
          <w14:textFill>
            <w14:solidFill>
              <w14:schemeClr w14:val="tx1"/>
            </w14:solidFill>
          </w14:textFill>
        </w:rPr>
        <w:fldChar w:fldCharType="separate"/>
      </w:r>
      <w:r>
        <w:rPr>
          <w:rStyle w:val="8"/>
          <w:rFonts w:hint="eastAsia" w:ascii="Microsoft YaHei UI" w:hAnsi="Microsoft YaHei UI" w:eastAsia="Microsoft YaHei UI" w:cs="Microsoft YaHei UI"/>
          <w:i w:val="0"/>
          <w:iCs w:val="0"/>
          <w:caps w:val="0"/>
          <w:color w:val="000000" w:themeColor="text1"/>
          <w:spacing w:val="8"/>
          <w:sz w:val="22"/>
          <w:szCs w:val="22"/>
          <w:u w:val="none"/>
          <w:bdr w:val="none" w:color="auto" w:sz="0" w:space="0"/>
          <w:shd w:val="clear" w:fill="FFFFFF"/>
          <w14:textFill>
            <w14:solidFill>
              <w14:schemeClr w14:val="tx1"/>
            </w14:solidFill>
          </w14:textFill>
        </w:rPr>
        <w:t>小镇探索</w:t>
      </w:r>
      <w:r>
        <w:rPr>
          <w:rFonts w:hint="eastAsia" w:ascii="Microsoft YaHei UI" w:hAnsi="Microsoft YaHei UI" w:eastAsia="Microsoft YaHei UI" w:cs="Microsoft YaHei UI"/>
          <w:i w:val="0"/>
          <w:iCs w:val="0"/>
          <w:caps w:val="0"/>
          <w:color w:val="000000" w:themeColor="text1"/>
          <w:spacing w:val="8"/>
          <w:kern w:val="0"/>
          <w:sz w:val="22"/>
          <w:szCs w:val="22"/>
          <w:u w:val="none"/>
          <w:bdr w:val="none" w:color="auto" w:sz="0" w:space="0"/>
          <w:shd w:val="clear" w:fill="FFFFFF"/>
          <w:lang w:val="en-US" w:eastAsia="zh-CN" w:bidi="ar"/>
          <w14:textFill>
            <w14:solidFill>
              <w14:schemeClr w14:val="tx1"/>
            </w14:solidFill>
          </w14:textFill>
        </w:rPr>
        <w:fldChar w:fldCharType="end"/>
      </w:r>
      <w:r>
        <w:rPr>
          <w:rFonts w:hint="eastAsia" w:ascii="Microsoft YaHei UI" w:hAnsi="Microsoft YaHei UI" w:eastAsia="Microsoft YaHei UI" w:cs="Microsoft YaHei UI"/>
          <w:i w:val="0"/>
          <w:iCs w:val="0"/>
          <w:caps w:val="0"/>
          <w:color w:val="000000" w:themeColor="text1"/>
          <w:spacing w:val="8"/>
          <w:kern w:val="0"/>
          <w:sz w:val="0"/>
          <w:szCs w:val="0"/>
          <w:bdr w:val="none" w:color="auto" w:sz="0" w:space="0"/>
          <w:shd w:val="clear" w:fill="FFFFFF"/>
          <w:lang w:val="en-US" w:eastAsia="zh-CN" w:bidi="ar"/>
          <w14:textFill>
            <w14:solidFill>
              <w14:schemeClr w14:val="tx1"/>
            </w14:solidFill>
          </w14:textFill>
        </w:rPr>
        <w:t> </w:t>
      </w:r>
      <w:r>
        <w:rPr>
          <w:rStyle w:val="7"/>
          <w:rFonts w:hint="eastAsia" w:ascii="Microsoft YaHei UI" w:hAnsi="Microsoft YaHei UI" w:eastAsia="Microsoft YaHei UI" w:cs="Microsoft YaHei UI"/>
          <w:i w:val="0"/>
          <w:iCs w:val="0"/>
          <w:caps w:val="0"/>
          <w:color w:val="000000" w:themeColor="text1"/>
          <w:spacing w:val="8"/>
          <w:kern w:val="0"/>
          <w:sz w:val="22"/>
          <w:szCs w:val="22"/>
          <w:bdr w:val="none" w:color="auto" w:sz="0" w:space="0"/>
          <w:shd w:val="clear" w:fill="FFFFFF"/>
          <w:lang w:val="en-US" w:eastAsia="zh-CN" w:bidi="ar"/>
          <w14:textFill>
            <w14:solidFill>
              <w14:schemeClr w14:val="tx1"/>
            </w14:solidFill>
          </w14:textFill>
        </w:rPr>
        <w:t>2021-12-27 19:18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1"/>
          <w:szCs w:val="21"/>
          <w:bdr w:val="none" w:color="auto" w:sz="0" w:space="0"/>
          <w:shd w:val="clear" w:fill="FFFFFF"/>
          <w14:textFill>
            <w14:solidFill>
              <w14:schemeClr w14:val="tx1"/>
            </w14:solidFill>
          </w14:textFill>
        </w:rPr>
        <w:t>来源：新余脱贫攻坚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乡村振兴项目已经开始发文申报，突出锁定种植、养殖、加工、流通等板块。将农业强县、龙头企业、合作社、家庭农场、休闲农业和乡村旅游等作为重点扶持对象。脱贫之后怎么干？乡村产业怎么兴？粮食安全怎么保？农村环境怎么建？城乡之间怎么融？资金补助怎么筹？7万亿投到哪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一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建设美丽休闲乡村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建设一批功能齐全、布局合理、机制完善、带动力强的休闲农业精品园，推介一批区域特色鲜明、文化底蕴厚重、乡土气息浓厚的乡村休闲旅游精品景点线路，遴选一批天蓝、地绿、水净、安居、乐业的中国美丽休闲乡村，建设一批资源优势明显、产业发展领先、示范作用突出的全国休闲农业重点县。2021年，打造150条乡村休闲旅游精品景点线路，建设200个中国美丽休闲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红色美丽乡村试点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中央财政继续支持400个村庄开展红色美丽村庄建设试点，不断丰富党史学习教育实践载体，打造涵养初心使命的实物教科书。各级财政部门要高度重视，与党史学习教育有机结合，会同组织部门严格把关，指导县级科学制定试点方案，加强对试点村组织建设、资金管理、产业发展、人才培训、政策宣传等方面的指导，务求取得实效。</w:t>
      </w: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drawing>
          <wp:inline distT="0" distB="0" distL="114300" distR="114300">
            <wp:extent cx="9525" cy="9525"/>
            <wp:effectExtent l="0" t="0" r="0" b="0"/>
            <wp:docPr id="2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8"/>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现代农业产业园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发展规划司印发《发展规划司2021年工作要点》部署要求，2021年，创建和认定一批国家现代农业产业园。引导各地梯次推进国家、省、市县产业园建设；同时，总结不同区域、不同产业类型的产业园范例，发布产业园发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目前全国已批准创建四批107个国家现代农业产业园;2021年农业农村部、财政部继续支持国家现代农业产业园创建。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四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打造田园综合体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按照农村生产生活生态“三生同步”、一二三产业“三产融合”、农业文化旅游“三位一体”的要求，在塑造乡村“形、实、魂”上下功夫，建设一批以农民专业合作社为主要载体，让农民充分参与和受益，集循环农业、创意农业、农事体验于一体的田园综合体，实现产业兴旺、生态宜居、乡风文明、治理有效、生活富裕的总体要求，走出具有地方特色的乡村振兴试点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坚持探索创新。探索形成推动乡村振兴的人才、土地、资金、产业政策体系，探索在政府引导下形成社会资本与村集体合作共赢模式。及时总结推广典型案例和经验做法，以点带面形成乡村生态振兴示范效应。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五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创建“一村一品”示范村镇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根据《2021年乡村产业工作要点》部署要求，2021年，认定第十批“一村一品”示范村镇。新认定400个全国“一村一品"示范村镇。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培育一批“产品小而特、业态精而美、布局聚而合”的“一村一品”示范村镇，形成一村带数村、多村连成片的发展格局。优化特色产业布局，建设一批产值超100亿元的特色产业集群，打造一批产值超50亿元的特色产业强县、超10亿元的特色产业强镇、超1亿元的特色产业强村。形成“一村一品"一镇一特"“—县—业"“一省一业"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六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br w:type="textWrapping"/>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打造优势特色产业集群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按照2021年中央一号文件有关要求，中央财政继续统筹推进优势特色产业集群项目建设。2021年中央财政共支持新创建50个优势特色产业集群。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突出产业环节串珠成线、连块成带、集群成链，建设主导产业突出、规模效益显著、产业链条健全、综合竞争力强的产值超100亿元优势特色产业集群，建设一批产值超1000亿元的骨干优势特色产业集群，打造乡村产业区域增长极和产业高地。2021年，支持建设一批优势特色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七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产业强建设农业镇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根据《2021年乡村产业工作要点》，2021年，认定一批（建设300个）成效显著的农业产业强镇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聚焦镇（乡)域12个主导产业，吸引资本聚镇、能人入镇、技术进镇，建设一批标准原料基地、集约加工转化、区域主导产业、紧密利益联结于一体的农业产业强镇，培育一批产值超10亿元的农业产业强镇，打造主业强、百业兴、宜居宜业的农民区域服务中心，培育乡村产业“增长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八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农业产业化联合体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根据农业农村部乡村产业发展司印发《2021年乡村产业工作要点》部署要求，2020年，扶持并推介一批主导产业突出、原料基地共建、资源要素共享、联农带农紧密的农业产业化联合体。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可细分为:支持以多主体参与、产业关联度高、辐射带动力强的大型产业化联合体;支持以产业园区为单元，园区内龙头企业与基地农民合作社和农户分工明确、优势互补、风险共担、利益共享的中型产业化联合体;支持以龙头企业为引领，农民合作社和家庭农场跟进，广大小农户参与，采取订单生产、股份合作的小型产业化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九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农村一二三产业融合发展先导区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根据《2021年乡村产业工作要点》部署要求，2021年，农业农村部将认定一批农村一二三产业融合发展先导区。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以资源集聚区和物流节点为重点，促进产业前延后伸、横向配套、上承市场、下接要素，构建紧密关联、高度依存的全产业链，培育生产、加工、流通、物流、体验、品牌、电商于一体的产业集群，打造乡村产业发展高地，建设乡村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提升农产品加工园区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按照“粮头食尾""农头工尾"要求，引导各类龙头企业向园区集中，促进原料生产、精深加工、体验展示、物流配送有机衔接。2021年，发布农产品加工业100强园区以及分行业10强园区，培育一批产值超100亿元的国际农产品加工产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根据2021年中央一号文件部署要求，2021年继续组织认定一批农村产业融合发展示范园;此项目由国家发改委负责组织实施。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十一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发展乡村旅游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发掘地方风味、民族特色、传统工艺等资源，开发乡村休闲旅游“夜经济”、农家宴、乡土菜等新项目。发展研学教育、田园养生、亲子体验、拓展训练等项目，引导有条件的休闲农业园建设中小学生农事研学实践教育基（营）地。2021年，开展线上推介和云端培训，举办美丽乡村休闲旅游行推介活动，融入美食评选、创意发布等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十二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休闲农业和乡村旅游精品工程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根据《2021年乡村产业工作要点》，2021年，认定一批“一村一景”“一村一韵”美丽休闲乡村;开展“最美乡创、乡红、乡艺、乡厨、乡贤、乡社、乡品、乡园、乡景、乡居”等“十最十乡”推介活动。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实施休闲农业和乡村旅游精品工程，建设一批设施完备、功能多样的休闲观光园区、乡村民宿、农耕体验、农事研学、康养基地等，打造特色突出、主题鲜明的休闲农业和乡村旅游精品。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十三</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水系连通及水美乡村建设试点县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2021年启动水系连通第二批试点项目，并将试点名称调整为“水系连通及水美乡村建设”。2021年4月初，财政部会同水利部印发试点通知，部署各地通过竞争立项推荐试点县。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部署要求，2021年，农业农村部开展全国休闲农业重点县建设。按照区域、国内、世界三个等级资源优势要求，建设一批资源独特、环境优良、设施完备、业态丰富的休闲农业重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十四</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国家种业园创建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习近平总书记多次就种子问题作出重要指示批示，强调要下决心把民族种业搞上去，从源头上保障国家粮食安全。要聚焦薄弱环节，着力打通堵点，确保中国粮主要用“中国种”。支持国家种业园创建，着力培育种业龙头企业。2021年中央财政共支持新增创建10个以种业为主导产业的国家现代农业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十五</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打好种业翻身仗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加强制种基地和良种繁育体系建设，研究重大品种研发与推广后补助政策，促进育繁推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十六</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建设农业食品创新平台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依托具备技术研发能力的地区和机构，建设农业食品创新产业园，力争搭建一批平台，形成一套机制，攻克一批技术，转化一批成果，创制一批装备，推广一批先进实用技术。2021年，建设数个中国农业食品创新产业园。建设一批农产品加工技术集成科研基地，完善一批国家农产品加工研发分中心，建立农产品加工业专家指导组等5个乡村产业专家指导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十七</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发展农产品初加工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强化标准引领和技术指南，扶持农民合作社和家庭农场发展保鲜、储藏、分级、包装等延时类初加工，发展粮变粉、豆变芽、肉变肠、奶变酪、菜变肴、果变汁等食品类初加工，培育一批农业食品融合企业。2021年，制定加快发展农产品初加工的意见，制定促进农业与食品产业融合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十八</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农产品初加工设施建设补助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部署要求，2021年，农业农村部继续支持实施农产品产地初加工设施建设补助;鼓励和支持农民合作社和家庭农场等新型经营主体发展保鲜、储藏、分级、包装等设施建设，促进农产品顺利进入终端市场和后续加工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同时支持发展粮变粉、豆变芽、肉变肠、奶变酪、菜变肴、果变汁等初级加工产品项目;农产品初加工补助项目，每个地方每年都有补贴，一定要积极申报。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十九</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农产品加工技术集成基地和精深加工示范基地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根据《2021年乡村产业工作要点》，2021年，大力发展农产品精深加工。发布农产品加工业100强企业。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鼓励和引导工商资本和农业产业化国家重点龙头企业在农畜产品优势区，建立标准化原料基地，打造“第一车间""原料车间"和“粮食车间”;提升加工深度，引导龙头企业建设农产品加工技术集成基地和精深加工示范基地，增加精深加工产品种类和产品附加值，推动加工企业由小变大、加工程度由初变深、加工产品由粗变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发展农产品精深加工和综合利用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培育一批生产标准、技术集成、管理科学、品牌知名和产业集聚的农产品加工企业以及综合利用主体，推进多元化开发、多层次利用、多环节增值。2021年，发布农产品加工业分行业10强企业，创建一批全国主食加工业示范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二十一</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区域性农产品加工园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根据《2021年乡村产业工作要点》，2021年，建设并推荐一批产值超100亿元的农产品加工园。支持粮食生产功能区、重要农产品生产保护区、特色农产品优势区，建设一批各具特色的农产品加工园区。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支持河南驻马店、黑龙江肇东建设国际农产品加工产业园，引导地方建设一批区域性农产品加工园，形成国家、省、市、县四级农产品加工园体系，构筑乡村产业“新高地"”。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二十二</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打造农业全产业链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在县域内打造农业全产业链，遴选一批特色鲜明、链条健全、联结紧密、业态丰富、创业活跃的农业全产业链，拓展农业增值增效深度和功能价值开发广度。2021年，公布一批全国农业全产业链典型模式和“链主”企业，组织召开全国乡村产业高质量发展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二十三</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培育知名特色品牌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开展乡村特色产业调查分析，指导乡村手工产业做精做细，打造“乡字号""土字号”特色产业“金字招牌”。2021年，建立全国乡村特色产品目录，推介一批乡村特色产品和能工巧匠，宣传一批乡村特色产业知名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根据《发展规划司2021年工作要点》，2021年，深入推进信息进村入户，实施“互联网”农产品出村进城工程。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二十四</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推进农特产品包装品牌化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整合特色农产品品牌，支持做大做强名牌产品，保护农产品知名品牌，积极推进“农产品质量安全绿色行动”，提升农产品市场竞争力，促进粮食增产、农业增效和农民增收。农业品牌化，农业农村现代化，打造农产品品牌，实现农产品增值。通过品牌原创、包装设计，理念创意，促进农产品品牌建设工作具体化。让特色农产品包装更有品质、更具内涵，扔特色农产品包装迈入创意品牌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二十五</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构建现代乡村产业体系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把农业现代化示范区作为推进农业现代化的重要抓手，围绕提高农业产业体系、生产体系、经营体系现代化水平，建立指标体系，加强资源整合、政策集成，以县 （市、区）为单位开展创建，到2025年创建500个左右示范区，形成梯次推进农业现代化的格局。创建现代林业产业示范区。组织开展“万企兴万村"行动。稳步推进反映全产业链价值的农业及相关产业统计核算。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二十六</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加快推进村庄规划工作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基本完成县级国土空间规划编制，明确村庄布局分类。积极有序推进“多规合一”实用性村庄规划编制，对有条件、有需求的村庄尽快实现村庄规划全覆盖。编制村庄规划要立足现有基础，保留乡村特色风貌，不搞大拆大建。按照规划有序开展各项建设，严肃查处违规乱建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二十七</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规范农房建设改造工作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完善建设标准和规范，提高农房设计水平和建设质量。继续实施农村危房改造和地震高烈度设防地区农房抗震改造。加强村庄风貌引导，保护传统村落、传统民居和历史文化名村名镇。加大农村地区文化遗产遗迹保护力度。乡村建设是为农民而建，要因地制宜、稳扎稳打，不刮风搞运动。严格规范村庄撤并，不得违背农民意愿、强迫农民上楼，把好事办好、把实事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二十八</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实施农村人居环境整治提升五年行动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二十九</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健全乡村康养体系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全面推进健康乡村建设，提升村卫生室标准化建设和健康管理水平，推动乡村医生向执业(助理)医师转变，采取派驻、巡诊等方式提高基层卫生服务水平。提升乡镇卫生院医疗服务能力，选建一批中心卫生院。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加强县级医院建设，持续提升县级疾控机构应对重大疫情及突发公共卫生事件能力。加强县域紧密型医共体建设，实行医保总额预算管理。推进城乡公共文化服务体系一体建设，创新实施文化惠民工程。同时,开展全国乡村康养旅游示范基地，探索乡村旅游与康养旅游加速融合发展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农村综合性改革试点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加强政策集成，按照推进乡村全面振兴的有关要求，坚持与时俱进，激发资源要素活力，坚持乡村产业发展、乡村建设和乡村治理一体推进，着力增强改革的系统性、整体性、协同性。要注重科技支撑。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加强信息技术运用，利用互联网、大数据、人工智能等“互联网+”方式，发展智慧农业、智慧乡村，改善乡村管理服务，提升乡镇和村为农服务的能力。要着力创新机制，发挥先行先试优势，着力构建乡村产业发展、数字乡村发展、促进农民增收、改善乡村治理四项机制，探索形成符合实际、各具特色、行之有效、可复制推广的乡村振兴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三十一</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强化现代农业科技和物质装备支撑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实施大中型灌区续建配套和现代化改造。到2025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打造国家热带农业科学中心。提高农机装备自主研制能力，支持高端智能、丘陵山区农机装备研发制造，加大购置补贴力度，开展农机作业补贴。强化动物防疫和农作物病虫害防治体系建设，提升防控能力。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三十二</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提升农村基本公共服务水平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三十三</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特色农产品生产基地、中国特色农产品优势区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根据《2021年乡村产业工作要点》，2021年，建设一批特色农产品生产基地。引导各地建设特色粮、油、薯、果、菜、茶、菌、中药材、养殖、林特花卉苗木等种养基地。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根据农业农村部2021年一号文件部署要求，2021年，认定第四批中国特色农产品优势区。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三十四</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绿色种养循环农业试点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2021年中央一号文件提出的“加强畜禽粪污资源化利用”要求，2021年中央财政安排27.42亿元，将支持重点从前端的处理设施建设环节转向后端的粪肥利用环节，支持开展绿色种养循环农业试点工作。聚焦畜牧大省、粮食和蔬菜主产区、生态保护重点区域，优先在京津冀协同发展、长江经济带、粤港澳大湾区、黄河流域、东北黑土地、生物多样性保护等重点地区开展试点。</w:t>
      </w: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drawing>
          <wp:inline distT="0" distB="0" distL="114300" distR="114300">
            <wp:extent cx="9525" cy="9525"/>
            <wp:effectExtent l="0" t="0" r="0" b="0"/>
            <wp:docPr id="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68"/>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三十五</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国家农业绿色发展先行区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发展规划司2021年工作要点》部署要求，2021年，开展绿色技术综合试验，布局建设一批长期固定观测试验站，探索建立绿色农业技术、标准、产业、经营、政策、数字体系，总结形成一批不同生态类型不同作物品种的农业绿色发展典型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三十六</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生猪标准化规模养殖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根据农业农村部2021年一号文件部署要求，2021年，支持发展生猪标准化规模养殖，加强对中小养殖场户帮带和技术服务。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落实好环评、用地、信贷等各项扶持政策，加快清理超范围划定的限养禁养区，及时监测生猪补栏增养情况，加快优化猪肉供应链，引导屠宰加工向养殖集中区转移，促进“运猪”向“运肉”转变。推动生猪扶持政策拓展覆盖畜牧业，支持禽类、牛羊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三十七</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水产健康养殖示范创建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2021年一号文件部署要求，2021年，继续开展水产健康养殖示范创建；全面落实养殖水域滩涂规划制度，依法核发养殖证；重点发展池塘工程化、工厂化循环水养殖，稳步发展稻渔综合种养和大水面生态渔业，鼓励发展碳汇渔业，支持深远海养殖业发展。规范有序发展远洋渔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三十八</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高标准农田建设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根据农业农村部2021年一号文件部署要求，2021年，以粮食生产功能区和重要农产品生产保护区为重点，完成8000万亩高标准农田和2000万亩高效节水灌溉建设任务。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建设旱作梯田，加快三江平原地下水超采田间配套工程建设。开展高标准农田建设清查，建设农田管理大数据平台，加快推进统一上图入库。修编全国高标准农田建设规划，分区域、分类型制定建设标准。持续开展耕地质量监测评价，推动建立健全高标准农田设施管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三十九</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中小河流治理、小型水库除险加固和山洪灾害防治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十四五"时期，中央财政将聚焦流域面积200—3000平方公里的中小河流治理、小型水库除险加固和山洪灾害防治，支持各地提升防汛抗旱能力。中小河流治理方面，“十四五"期间，中央财政预计将安排水利发展资金超过1000亿元，支持各地完成约8万公里的中小河流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各省级财政部门要会同水利部门，按照整体性规划、全流域推进、分阶段实施的思路，抓紧完善项目方案,加快前期工作。小型水库除险加固和维修养护方面，贯彻落实国务院常务会议精神，中央财政进一步加大 了投入和政策支持力度。“十四五”期间，将通过优化水利发展资金存量，积极安排部分增量，投入除险加固和维修养护补助资金245亿元。同时，支持各地统筹一般公共预算和债券资金履行地方支出责任，要切实用好用足中央补助资金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四十</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新一轮渔业发展支持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习近平总书记高度重视渔业高质量发展。2021年是新一轮渔业发展支持政策实施的第一年,要切实贯彻好、实施好、宣传好渔业发展相关支持政策，确保新旧政策有序衔接、平稳过渡，有效发挥新一轮渔业发展支持政策效能。要落实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根据相关文件精神，抓紧制定具体实施方案，明确基本思路、资金使用重点和具体安排、目标任务和预期效果等。要加强监督检查。加强对渔业发展支持政策实施工作的分类指导和监督检查，把实施方案明确的目标任务作为监督考核的重要依据，及时发现问题、完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四十一</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新一轮农机购置补贴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习近平总书记指出，要大力推进农业机械化、智能化，给农业现代化插上科技的翅膀。2021年中央财政加大投入力度，新增20亿元农机购置补贴资金，年度资金规模达到190亿元。2021年，支持重点方面着力突出稳产保供；补贴资质方面着力突出农机科技自主创新，大力推广使用具有自主知识产权的国产北斗智能终端设备。</w:t>
      </w:r>
      <w:r>
        <w:rPr>
          <w:rFonts w:ascii="微软雅黑" w:hAnsi="微软雅黑" w:eastAsia="微软雅黑" w:cs="微软雅黑"/>
          <w:i w:val="0"/>
          <w:iCs w:val="0"/>
          <w:caps w:val="0"/>
          <w:color w:val="000000" w:themeColor="text1"/>
          <w:spacing w:val="8"/>
          <w:sz w:val="24"/>
          <w:szCs w:val="24"/>
          <w:bdr w:val="none" w:color="auto" w:sz="0" w:space="0"/>
          <w:shd w:val="clear" w:fill="FFFFFF"/>
          <w14:textFill>
            <w14:solidFill>
              <w14:schemeClr w14:val="tx1"/>
            </w14:solidFill>
          </w14:textFill>
        </w:rPr>
        <w:drawing>
          <wp:inline distT="0" distB="0" distL="114300" distR="114300">
            <wp:extent cx="9525" cy="9525"/>
            <wp:effectExtent l="0" t="0" r="0" b="0"/>
            <wp:docPr id="1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72"/>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br w:type="textWrapping"/>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四十二</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农产品产地冷藏保鲜设施试点县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2021年中央一号文件明确提出“加快实施农产品仓储保鲜冷链物流设施建设工程,推进田头小型仓储保鲜冷链设施建设”。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中央财政进一步加大投入力度,安排80亿元，比去年增加30亿元，支持全面推进农产品产地冷藏保鲜设施建设工作。实施区域扩大至全国31个省份及新疆生产建设兵团、北大荒农垦集团等。在此基础上,择优选择100个产业基础好、主体积极性高、政策支持力度大的蔬菜、水果等产业重点县支持开展整县推进试点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color w:val="000000" w:themeColor="text1"/>
          <w:spacing w:val="8"/>
          <w:sz w:val="24"/>
          <w:szCs w:val="24"/>
          <w14:textFill>
            <w14:solidFill>
              <w14:schemeClr w14:val="tx1"/>
            </w14:solidFill>
          </w14:textFill>
        </w:rPr>
      </w:pP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四十三</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5F9CEF"/>
          <w14:textFill>
            <w14:solidFill>
              <w14:schemeClr w14:val="tx1"/>
            </w14:solidFill>
          </w14:textFill>
        </w:rPr>
        <w:t> </w:t>
      </w:r>
      <w:r>
        <w:rPr>
          <w:rStyle w:val="6"/>
          <w:rFonts w:hint="eastAsia" w:ascii="Microsoft YaHei UI" w:hAnsi="Microsoft YaHei UI" w:eastAsia="Microsoft YaHei UI" w:cs="Microsoft YaHei UI"/>
          <w:b/>
          <w:i w:val="0"/>
          <w:iCs w:val="0"/>
          <w:caps w:val="0"/>
          <w:color w:val="000000" w:themeColor="text1"/>
          <w:spacing w:val="8"/>
          <w:sz w:val="24"/>
          <w:szCs w:val="24"/>
          <w:bdr w:val="none" w:color="auto" w:sz="0" w:space="0"/>
          <w:shd w:val="clear" w:fill="FFFFFF"/>
          <w14:textFill>
            <w14:solidFill>
              <w14:schemeClr w14:val="tx1"/>
            </w14:solidFill>
          </w14:textFill>
        </w:rPr>
        <w:t>加强党的农村基层组织建设和乡村治理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spacing w:val="8"/>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充分发挥农村基层党组织领导作用，持续抓党建促乡村振兴。坚持和完善向重点乡村选派驻村第一书记和工作队制度。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加大在优秀农村青年中发展党员力度，加强对农村基层干部激励关怀，提高工资补助待遇，改善工作生活条件，切实帮助解决实际困难。推进村委会规范化建设和村务公开“阳光工程”。开展乡村治理试点示范创建工作。创建民主法治示范村，培育农村学法用法示范户。加强乡村人民调解组织队伍建设，推动就地化解矛盾纠纷。深入推进平安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color w:val="000000" w:themeColor="text1"/>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24"/>
          <w:szCs w:val="24"/>
          <w:bdr w:val="none" w:color="auto" w:sz="0" w:space="0"/>
          <w:shd w:val="clear" w:fill="FFFFFF"/>
          <w14:textFill>
            <w14:solidFill>
              <w14:schemeClr w14:val="tx1"/>
            </w14:solidFill>
          </w14:textFill>
        </w:rPr>
        <w:t>2021年，全面推进乡村振兴，在“十四五”时期以及未来更长一段的时间，只有做好在哪些方向上发力的重要战略决策，才能打好乡村振兴这场持久战！</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4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2021-12-28T02:59:10Z</dcterms:created>
  <dc:creator>DELL</dc:creator>
  <cp:lastModifiedBy>曹争鸣</cp:lastModifiedBy>
  <dcterms:modified xsi:type="dcterms:W3CDTF">2021-12-28T03:03:03Z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F2A12255265743418D10D34F040D39E7</vt:lpwstr>
  </property>
</Properties>
</file>