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PingFangTC-light" w:hAnsi="PingFangTC-light" w:eastAsia="宋体" w:cs="PingFangTC-light"/>
          <w:i w:val="0"/>
          <w:iCs w:val="0"/>
          <w:caps w:val="0"/>
          <w:color w:val="333333"/>
          <w:spacing w:val="8"/>
          <w:sz w:val="21"/>
          <w:szCs w:val="21"/>
          <w:shd w:val="clear" w:fill="FFFFFF"/>
          <w:lang w:val="en-US" w:eastAsia="zh-CN"/>
        </w:rPr>
      </w:pPr>
      <w:bookmarkStart w:id="0" w:name="_GoBack"/>
      <w:r>
        <w:rPr>
          <w:rFonts w:ascii="PingFangTC-light" w:hAnsi="PingFangTC-light" w:eastAsia="PingFangTC-light" w:cs="PingFangTC-light"/>
          <w:i w:val="0"/>
          <w:iCs w:val="0"/>
          <w:caps w:val="0"/>
          <w:color w:val="333333"/>
          <w:spacing w:val="8"/>
          <w:sz w:val="21"/>
          <w:szCs w:val="21"/>
          <w:shd w:val="clear" w:fill="FFFFFF"/>
        </w:rPr>
        <w:t>2022年</w:t>
      </w:r>
      <w:r>
        <w:rPr>
          <w:rFonts w:hint="eastAsia" w:ascii="PingFangTC-light" w:hAnsi="PingFangTC-light" w:eastAsia="宋体" w:cs="PingFangTC-light"/>
          <w:i w:val="0"/>
          <w:iCs w:val="0"/>
          <w:caps w:val="0"/>
          <w:color w:val="333333"/>
          <w:spacing w:val="8"/>
          <w:sz w:val="21"/>
          <w:szCs w:val="21"/>
          <w:shd w:val="clear" w:fill="FFFFFF"/>
          <w:lang w:val="en-US" w:eastAsia="zh-CN"/>
        </w:rPr>
        <w:t>常州市市级</w:t>
      </w:r>
      <w:r>
        <w:rPr>
          <w:rFonts w:ascii="PingFangTC-light" w:hAnsi="PingFangTC-light" w:eastAsia="PingFangTC-light" w:cs="PingFangTC-light"/>
          <w:i w:val="0"/>
          <w:iCs w:val="0"/>
          <w:caps w:val="0"/>
          <w:color w:val="333333"/>
          <w:spacing w:val="8"/>
          <w:sz w:val="21"/>
          <w:szCs w:val="21"/>
          <w:shd w:val="clear" w:fill="FFFFFF"/>
        </w:rPr>
        <w:t>项目</w:t>
      </w:r>
      <w:r>
        <w:rPr>
          <w:rFonts w:hint="eastAsia" w:ascii="PingFangTC-light" w:hAnsi="PingFangTC-light" w:eastAsia="宋体" w:cs="PingFangTC-light"/>
          <w:i w:val="0"/>
          <w:iCs w:val="0"/>
          <w:caps w:val="0"/>
          <w:color w:val="333333"/>
          <w:spacing w:val="8"/>
          <w:sz w:val="21"/>
          <w:szCs w:val="21"/>
          <w:shd w:val="clear" w:fill="FFFFFF"/>
          <w:lang w:val="en-US" w:eastAsia="zh-CN"/>
        </w:rPr>
        <w:t>预计</w:t>
      </w:r>
      <w:r>
        <w:rPr>
          <w:rFonts w:ascii="PingFangTC-light" w:hAnsi="PingFangTC-light" w:eastAsia="PingFangTC-light" w:cs="PingFangTC-light"/>
          <w:i w:val="0"/>
          <w:iCs w:val="0"/>
          <w:caps w:val="0"/>
          <w:color w:val="333333"/>
          <w:spacing w:val="8"/>
          <w:sz w:val="21"/>
          <w:szCs w:val="21"/>
          <w:shd w:val="clear" w:fill="FFFFFF"/>
        </w:rPr>
        <w:t>申报</w:t>
      </w:r>
      <w:r>
        <w:rPr>
          <w:rFonts w:hint="eastAsia" w:ascii="PingFangTC-light" w:hAnsi="PingFangTC-light" w:eastAsia="宋体" w:cs="PingFangTC-light"/>
          <w:i w:val="0"/>
          <w:iCs w:val="0"/>
          <w:caps w:val="0"/>
          <w:color w:val="333333"/>
          <w:spacing w:val="8"/>
          <w:sz w:val="21"/>
          <w:szCs w:val="21"/>
          <w:shd w:val="clear" w:fill="FFFFFF"/>
          <w:lang w:val="en-US" w:eastAsia="zh-CN"/>
        </w:rPr>
        <w:t>时间节点</w:t>
      </w:r>
    </w:p>
    <w:bookmarkEnd w:id="0"/>
    <w:p>
      <w:pPr>
        <w:jc w:val="center"/>
        <w:rPr>
          <w:rFonts w:hint="eastAsia" w:ascii="PingFangTC-light" w:hAnsi="PingFangTC-light" w:eastAsia="宋体" w:cs="PingFangTC-light"/>
          <w:i w:val="0"/>
          <w:iCs w:val="0"/>
          <w:caps w:val="0"/>
          <w:color w:val="333333"/>
          <w:spacing w:val="8"/>
          <w:sz w:val="21"/>
          <w:szCs w:val="21"/>
          <w:shd w:val="clear" w:fill="FFFFFF"/>
          <w:lang w:val="en-US" w:eastAsia="zh-CN"/>
        </w:rPr>
      </w:pPr>
    </w:p>
    <w:p>
      <w:pPr>
        <w:jc w:val="center"/>
        <w:rPr>
          <w:rFonts w:hint="eastAsia" w:ascii="PingFangTC-light" w:hAnsi="PingFangTC-light" w:eastAsia="宋体" w:cs="PingFangTC-light"/>
          <w:i w:val="0"/>
          <w:iCs w:val="0"/>
          <w:caps w:val="0"/>
          <w:color w:val="333333"/>
          <w:spacing w:val="8"/>
          <w:sz w:val="21"/>
          <w:szCs w:val="21"/>
          <w:shd w:val="clear" w:fill="FFFFFF"/>
          <w:lang w:val="en-US" w:eastAsia="zh-CN"/>
        </w:rPr>
      </w:pPr>
      <w:r>
        <w:rPr>
          <w:rFonts w:hint="eastAsia" w:ascii="PingFangTC-light" w:hAnsi="PingFangTC-light" w:eastAsia="宋体" w:cs="PingFangTC-light"/>
          <w:i w:val="0"/>
          <w:iCs w:val="0"/>
          <w:caps w:val="0"/>
          <w:color w:val="333333"/>
          <w:spacing w:val="8"/>
          <w:sz w:val="21"/>
          <w:szCs w:val="21"/>
          <w:shd w:val="clear" w:fill="FFFFFF"/>
          <w:lang w:val="en-US" w:eastAsia="zh-CN"/>
        </w:rPr>
        <w:t>（按2021年申报进程预测，请以正式通知为准）</w:t>
      </w:r>
    </w:p>
    <w:p>
      <w:pPr>
        <w:jc w:val="center"/>
        <w:rPr>
          <w:rFonts w:hint="eastAsia" w:ascii="PingFangTC-light" w:hAnsi="PingFangTC-light" w:eastAsia="宋体" w:cs="PingFangTC-light"/>
          <w:i w:val="0"/>
          <w:iCs w:val="0"/>
          <w:caps w:val="0"/>
          <w:color w:val="333333"/>
          <w:spacing w:val="8"/>
          <w:sz w:val="21"/>
          <w:szCs w:val="21"/>
          <w:shd w:val="clear" w:fill="FFFFFF"/>
          <w:lang w:val="en-US" w:eastAsia="zh-CN"/>
        </w:rPr>
      </w:pPr>
    </w:p>
    <w:p>
      <w:pPr>
        <w:jc w:val="center"/>
        <w:rPr>
          <w:rFonts w:hint="default" w:ascii="PingFangTC-light" w:hAnsi="PingFangTC-light" w:eastAsia="宋体" w:cs="PingFangTC-light"/>
          <w:i w:val="0"/>
          <w:iCs w:val="0"/>
          <w:caps w:val="0"/>
          <w:color w:val="333333"/>
          <w:spacing w:val="8"/>
          <w:sz w:val="21"/>
          <w:szCs w:val="21"/>
          <w:shd w:val="clear" w:fill="FFFFFF"/>
          <w:lang w:val="en-US" w:eastAsia="zh-CN"/>
        </w:rPr>
      </w:pPr>
      <w:r>
        <w:rPr>
          <w:rFonts w:hint="eastAsia" w:ascii="PingFangTC-light" w:hAnsi="PingFangTC-light" w:eastAsia="宋体" w:cs="PingFangTC-light"/>
          <w:i w:val="0"/>
          <w:iCs w:val="0"/>
          <w:caps w:val="0"/>
          <w:color w:val="333333"/>
          <w:spacing w:val="8"/>
          <w:sz w:val="21"/>
          <w:szCs w:val="21"/>
          <w:shd w:val="clear" w:fill="FFFFFF"/>
          <w:lang w:val="en-US" w:eastAsia="zh-CN"/>
        </w:rPr>
        <w:t>资料来源：策评网</w:t>
      </w:r>
    </w:p>
    <w:p/>
    <w:p>
      <w:r>
        <w:drawing>
          <wp:inline distT="0" distB="0" distL="114300" distR="114300">
            <wp:extent cx="5272405" cy="3059430"/>
            <wp:effectExtent l="0" t="0" r="444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>
      <w:r>
        <w:drawing>
          <wp:inline distT="0" distB="0" distL="114300" distR="114300">
            <wp:extent cx="5273675" cy="2287270"/>
            <wp:effectExtent l="0" t="0" r="317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4310" cy="3852545"/>
            <wp:effectExtent l="0" t="0" r="254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4310" cy="46266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865" cy="7577455"/>
            <wp:effectExtent l="0" t="0" r="698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1770" cy="3829050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2405" cy="4197985"/>
            <wp:effectExtent l="0" t="0" r="444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0500" cy="3053080"/>
            <wp:effectExtent l="0" t="0" r="635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2220595"/>
            <wp:effectExtent l="0" t="0" r="317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4310" cy="17887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2405" cy="1995170"/>
            <wp:effectExtent l="0" t="0" r="444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593975"/>
            <wp:effectExtent l="0" t="0" r="6350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ingFangT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3D6692"/>
    <w:rsid w:val="5BAD1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2022-01-24T08:03:00Z</dcterms:created>
  <dc:creator>DELL</dc:creator>
  <cp:lastModifiedBy>曹争鸣</cp:lastModifiedBy>
  <dcterms:modified xsi:type="dcterms:W3CDTF">2022-01-24T08:11:15Z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2D6523D848C94D1CAB68BA6821C18174</vt:lpwstr>
  </property>
</Properties>
</file>