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ascii="微软雅黑" w:hAnsi="微软雅黑" w:eastAsia="微软雅黑" w:cs="微软雅黑"/>
          <w:b/>
          <w:bCs/>
          <w:i w:val="0"/>
          <w:iCs w:val="0"/>
          <w:caps w:val="0"/>
          <w:color w:val="FF0000"/>
          <w:spacing w:val="5"/>
          <w:sz w:val="28"/>
          <w:szCs w:val="28"/>
        </w:rPr>
      </w:pPr>
      <w:r>
        <w:rPr>
          <w:rFonts w:hint="eastAsia" w:ascii="微软雅黑" w:hAnsi="微软雅黑" w:eastAsia="微软雅黑" w:cs="微软雅黑"/>
          <w:b/>
          <w:bCs/>
          <w:i w:val="0"/>
          <w:iCs w:val="0"/>
          <w:caps w:val="0"/>
          <w:color w:val="FF0000"/>
          <w:spacing w:val="5"/>
          <w:sz w:val="28"/>
          <w:szCs w:val="28"/>
          <w:bdr w:val="none" w:color="auto" w:sz="0" w:space="0"/>
          <w:shd w:val="clear" w:fill="FFFFFF"/>
        </w:rPr>
        <w:t>中国制造的单项冠军们都在哪？</w:t>
      </w:r>
    </w:p>
    <w:p>
      <w:pPr>
        <w:rPr>
          <w:color w:val="auto"/>
          <w:sz w:val="24"/>
          <w:szCs w:val="24"/>
        </w:rPr>
      </w:pPr>
    </w:p>
    <w:p>
      <w:pPr>
        <w:keepNext w:val="0"/>
        <w:keepLines w:val="0"/>
        <w:widowControl/>
        <w:suppressLineNumbers w:val="0"/>
        <w:jc w:val="center"/>
        <w:rPr>
          <w:rFonts w:hint="eastAsia" w:ascii="微软雅黑" w:hAnsi="微软雅黑" w:eastAsia="微软雅黑" w:cs="微软雅黑"/>
          <w:color w:val="auto"/>
          <w:spacing w:val="5"/>
          <w:kern w:val="0"/>
          <w:sz w:val="24"/>
          <w:szCs w:val="24"/>
          <w:lang w:val="en-US" w:eastAsia="zh-CN" w:bidi="ar"/>
        </w:rPr>
      </w:pPr>
      <w:r>
        <w:rPr>
          <w:rFonts w:hint="eastAsia" w:ascii="微软雅黑" w:hAnsi="微软雅黑" w:eastAsia="微软雅黑" w:cs="微软雅黑"/>
          <w:color w:val="auto"/>
          <w:spacing w:val="5"/>
          <w:kern w:val="0"/>
          <w:sz w:val="24"/>
          <w:szCs w:val="24"/>
          <w:lang w:val="en-US" w:eastAsia="zh-CN" w:bidi="ar"/>
        </w:rPr>
        <w:t>来源：创新经济与城乡空间微信公众号</w:t>
      </w:r>
    </w:p>
    <w:p>
      <w:pPr>
        <w:keepNext w:val="0"/>
        <w:keepLines w:val="0"/>
        <w:widowControl/>
        <w:suppressLineNumbers w:val="0"/>
        <w:jc w:val="center"/>
        <w:rPr>
          <w:color w:val="auto"/>
          <w:sz w:val="24"/>
          <w:szCs w:val="24"/>
        </w:rPr>
      </w:pPr>
      <w:r>
        <w:rPr>
          <w:rFonts w:hint="eastAsia" w:ascii="微软雅黑" w:hAnsi="微软雅黑" w:eastAsia="微软雅黑" w:cs="微软雅黑"/>
          <w:color w:val="auto"/>
          <w:spacing w:val="5"/>
          <w:kern w:val="0"/>
          <w:sz w:val="24"/>
          <w:szCs w:val="24"/>
          <w:lang w:val="en-US" w:eastAsia="zh-CN" w:bidi="ar"/>
        </w:rPr>
        <w:t>2021年12月15日发表，作者：霍伟</w:t>
      </w:r>
      <w:bookmarkStart w:id="0" w:name="_GoBack"/>
      <w:bookmarkEnd w:id="0"/>
    </w:p>
    <w:p>
      <w:pPr>
        <w:jc w:val="center"/>
        <w:rPr>
          <w:rFonts w:hint="default"/>
          <w:color w:val="auto"/>
          <w:sz w:val="24"/>
          <w:szCs w:val="24"/>
          <w:lang w:val="en-US" w:eastAsia="zh-CN"/>
        </w:rPr>
      </w:pPr>
    </w:p>
    <w:p>
      <w:pPr>
        <w:rPr>
          <w:color w:val="auto"/>
          <w:sz w:val="24"/>
          <w:szCs w:val="24"/>
        </w:rPr>
      </w:pPr>
    </w:p>
    <w:p>
      <w:pPr>
        <w:rPr>
          <w:color w:val="auto"/>
          <w:sz w:val="24"/>
          <w:szCs w:val="24"/>
        </w:rPr>
      </w:pPr>
    </w:p>
    <w:p>
      <w:pPr>
        <w:keepNext w:val="0"/>
        <w:keepLines w:val="0"/>
        <w:widowControl/>
        <w:suppressLineNumbers w:val="0"/>
        <w:ind w:firstLine="480" w:firstLineChars="200"/>
        <w:jc w:val="left"/>
        <w:rPr>
          <w:rStyle w:val="6"/>
          <w:rFonts w:ascii="微软雅黑" w:hAnsi="微软雅黑" w:eastAsia="微软雅黑" w:cs="微软雅黑"/>
          <w:color w:val="FF0000"/>
          <w:kern w:val="0"/>
          <w:sz w:val="24"/>
          <w:szCs w:val="24"/>
          <w:bdr w:val="none" w:color="auto" w:sz="0" w:space="0"/>
          <w:lang w:val="en-US" w:eastAsia="zh-CN" w:bidi="ar"/>
        </w:rPr>
      </w:pPr>
      <w:r>
        <w:rPr>
          <w:rStyle w:val="6"/>
          <w:rFonts w:hint="eastAsia" w:ascii="微软雅黑" w:hAnsi="微软雅黑" w:eastAsia="微软雅黑" w:cs="微软雅黑"/>
          <w:color w:val="FF0000"/>
          <w:kern w:val="0"/>
          <w:sz w:val="24"/>
          <w:szCs w:val="24"/>
          <w:bdr w:val="none" w:color="auto" w:sz="0" w:space="0"/>
          <w:lang w:val="en-US" w:eastAsia="zh-CN" w:bidi="ar"/>
        </w:rPr>
        <w:t>一、</w:t>
      </w:r>
      <w:r>
        <w:rPr>
          <w:rStyle w:val="6"/>
          <w:rFonts w:ascii="微软雅黑" w:hAnsi="微软雅黑" w:eastAsia="微软雅黑" w:cs="微软雅黑"/>
          <w:color w:val="FF0000"/>
          <w:kern w:val="0"/>
          <w:sz w:val="24"/>
          <w:szCs w:val="24"/>
          <w:bdr w:val="none" w:color="auto" w:sz="0" w:space="0"/>
          <w:lang w:val="en-US" w:eastAsia="zh-CN" w:bidi="ar"/>
        </w:rPr>
        <w:t>中国制造的单项冠军们都在哪？</w:t>
      </w:r>
    </w:p>
    <w:p>
      <w:pPr>
        <w:keepNext w:val="0"/>
        <w:keepLines w:val="0"/>
        <w:widowControl/>
        <w:suppressLineNumbers w:val="0"/>
        <w:ind w:firstLine="480" w:firstLineChars="200"/>
        <w:jc w:val="left"/>
        <w:rPr>
          <w:color w:val="auto"/>
          <w:sz w:val="24"/>
          <w:szCs w:val="24"/>
        </w:rPr>
      </w:pPr>
      <w:r>
        <w:rPr>
          <w:rFonts w:hint="eastAsia" w:ascii="微软雅黑" w:hAnsi="微软雅黑" w:eastAsia="微软雅黑" w:cs="微软雅黑"/>
          <w:color w:val="auto"/>
          <w:kern w:val="0"/>
          <w:sz w:val="24"/>
          <w:szCs w:val="24"/>
          <w:bdr w:val="none" w:color="auto" w:sz="0" w:space="0"/>
          <w:lang w:val="en-US" w:eastAsia="zh-CN" w:bidi="ar"/>
        </w:rPr>
        <w:t>随着全球发展进入新阶段，制造业重新成为大国竞争的重要领域。美国、德国等相继出台政策以促进制造业提升。我国也出台了《中国制造2025》等一系列政策以改变制造业“大而不强”的困境。其中，制造业单项冠军企业培育提升是一项重要行动。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2016年，工信部印发了《制造业单项冠军企业培育提升专项行动实施方案》，以引导制造企业专注创新和产品质量提升，推动产业迈向中高端，带动中国制造走向世界。到目前为止，已公布了五批单项冠军企业名录。</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本期首先让我们来聊一聊这些企业在区域空间上都分布在哪，又有哪些区域及城市在单项冠军企业方面实力突出。</w:t>
      </w:r>
    </w:p>
    <w:p>
      <w:pPr>
        <w:keepNext w:val="0"/>
        <w:keepLines w:val="0"/>
        <w:widowControl/>
        <w:suppressLineNumbers w:val="0"/>
        <w:ind w:firstLine="480" w:firstLineChars="200"/>
        <w:jc w:val="left"/>
        <w:rPr>
          <w:rFonts w:ascii="宋体" w:hAnsi="宋体" w:eastAsia="宋体" w:cs="宋体"/>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lang w:val="en-US" w:eastAsia="zh-CN" w:bidi="ar"/>
        </w:rPr>
        <w:t>区域分布</w:t>
      </w:r>
      <w:r>
        <w:rPr>
          <w:rFonts w:ascii="宋体" w:hAnsi="宋体" w:eastAsia="宋体" w:cs="宋体"/>
          <w:color w:val="auto"/>
          <w:kern w:val="0"/>
          <w:sz w:val="24"/>
          <w:szCs w:val="24"/>
          <w:bdr w:val="none" w:color="auto" w:sz="0" w:space="0"/>
          <w:lang w:val="en-US" w:eastAsia="zh-CN" w:bidi="ar"/>
        </w:rPr>
        <w:drawing>
          <wp:inline distT="0" distB="0" distL="114300" distR="114300">
            <wp:extent cx="5208270" cy="4171950"/>
            <wp:effectExtent l="0" t="0" r="11430" b="635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08270" cy="4171950"/>
                    </a:xfrm>
                    <a:prstGeom prst="rect">
                      <a:avLst/>
                    </a:prstGeom>
                    <a:noFill/>
                    <a:ln w="9525">
                      <a:noFill/>
                    </a:ln>
                  </pic:spPr>
                </pic:pic>
              </a:graphicData>
            </a:graphic>
          </wp:inline>
        </w:drawing>
      </w:r>
    </w:p>
    <w:p>
      <w:pPr>
        <w:keepNext w:val="0"/>
        <w:keepLines w:val="0"/>
        <w:widowControl/>
        <w:suppressLineNumbers w:val="0"/>
        <w:ind w:firstLine="480" w:firstLineChars="200"/>
        <w:jc w:val="right"/>
        <w:rPr>
          <w:color w:val="auto"/>
          <w:sz w:val="24"/>
          <w:szCs w:val="24"/>
        </w:rPr>
      </w:pPr>
      <w:r>
        <w:rPr>
          <w:rStyle w:val="6"/>
          <w:rFonts w:hint="eastAsia" w:ascii="微软雅黑" w:hAnsi="微软雅黑" w:eastAsia="微软雅黑" w:cs="微软雅黑"/>
          <w:color w:val="auto"/>
          <w:kern w:val="0"/>
          <w:sz w:val="24"/>
          <w:szCs w:val="24"/>
          <w:bdr w:val="none" w:color="auto" w:sz="0" w:space="0"/>
          <w:lang w:val="en-US" w:eastAsia="zh-CN" w:bidi="ar"/>
        </w:rPr>
        <w:t>单项冠军空间分布</w:t>
      </w:r>
      <w:r>
        <w:rPr>
          <w:rFonts w:hint="eastAsia" w:ascii="微软雅黑" w:hAnsi="微软雅黑" w:eastAsia="微软雅黑" w:cs="微软雅黑"/>
          <w:color w:val="auto"/>
          <w:sz w:val="24"/>
          <w:szCs w:val="24"/>
          <w:bdr w:val="none" w:color="auto" w:sz="0" w:space="0"/>
        </w:rPr>
        <w:t>（图中白线为城市群边界）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根据本团队收集整理的全国五批单项冠军企业（含示范企业、培育企业以及冠军产品所在企业，下同），在总体空间分布上呈现出诸多热点区域。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长三角是面积最广的一块热点区域，上海及苏南、浙北是我国制造业的传统优势地区。另一个面积较广的热点区域出现在济南、青岛周边，但烟台、威海尚未与之完全连绵，山东的制造业实力确实强大。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除上述两个区域外，京津冀、珠三角、海峡西岸也是我国单项冠军企业的重要热点区域，其在空间上没有形成大面积的连绵发展，但在内部密度上较高。</w:t>
      </w:r>
    </w:p>
    <w:p>
      <w:pPr>
        <w:keepNext w:val="0"/>
        <w:keepLines w:val="0"/>
        <w:widowControl/>
        <w:suppressLineNumbers w:val="0"/>
        <w:ind w:firstLine="480" w:firstLineChars="200"/>
        <w:jc w:val="left"/>
        <w:rPr>
          <w:color w:val="auto"/>
          <w:sz w:val="24"/>
          <w:szCs w:val="24"/>
        </w:rPr>
      </w:pPr>
      <w:r>
        <w:rPr>
          <w:rFonts w:hint="eastAsia" w:ascii="微软雅黑" w:hAnsi="微软雅黑" w:eastAsia="微软雅黑" w:cs="微软雅黑"/>
          <w:color w:val="auto"/>
          <w:kern w:val="0"/>
          <w:sz w:val="24"/>
          <w:szCs w:val="24"/>
          <w:bdr w:val="none" w:color="auto" w:sz="0" w:space="0"/>
          <w:lang w:val="en-US" w:eastAsia="zh-CN" w:bidi="ar"/>
        </w:rPr>
        <w:t>其他热点区域主要分布在我国各个城市群的中心城市周边，包括长江中游城市群的武汉、长沙，中原城市群的郑州等。</w:t>
      </w:r>
      <w:r>
        <w:rPr>
          <w:rStyle w:val="6"/>
          <w:rFonts w:ascii="宋体" w:hAnsi="宋体" w:eastAsia="宋体" w:cs="宋体"/>
          <w:color w:val="auto"/>
          <w:kern w:val="0"/>
          <w:sz w:val="24"/>
          <w:szCs w:val="24"/>
          <w:bdr w:val="none" w:color="auto" w:sz="0" w:space="0"/>
          <w:lang w:val="en-US" w:eastAsia="zh-CN" w:bidi="ar"/>
        </w:rPr>
        <w:t>城市分布</w:t>
      </w:r>
      <w:r>
        <w:rPr>
          <w:rFonts w:hint="eastAsia" w:ascii="微软雅黑" w:hAnsi="微软雅黑" w:eastAsia="微软雅黑" w:cs="微软雅黑"/>
          <w:color w:val="auto"/>
          <w:kern w:val="0"/>
          <w:sz w:val="24"/>
          <w:szCs w:val="24"/>
          <w:bdr w:val="none" w:color="auto" w:sz="0" w:space="0"/>
          <w:lang w:val="en-US" w:eastAsia="zh-CN" w:bidi="ar"/>
        </w:rPr>
        <w:t>从各类单项冠军的分布来看，我国的实力区域除了北、上、深、杭等头部城市之外，长三角城市群、山东半岛城市群、京津冀城市群、珠三角城市群、海峡西岸城市群等都是整体实力较强的区域，特别是苏南浙北地区和济青地区呈现出量大面广的特点。</w:t>
      </w:r>
      <w:r>
        <w:rPr>
          <w:rFonts w:ascii="宋体" w:hAnsi="宋体" w:eastAsia="宋体" w:cs="宋体"/>
          <w:color w:val="auto"/>
          <w:kern w:val="0"/>
          <w:sz w:val="24"/>
          <w:szCs w:val="24"/>
          <w:bdr w:val="none" w:color="auto" w:sz="0" w:space="0"/>
          <w:lang w:val="en-US" w:eastAsia="zh-CN" w:bidi="ar"/>
        </w:rPr>
        <w:drawing>
          <wp:inline distT="0" distB="0" distL="114300" distR="114300">
            <wp:extent cx="5219700" cy="7275195"/>
            <wp:effectExtent l="0" t="0" r="0" b="190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219700" cy="72751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各类单项冠军数量TOP30城</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可见，除了对于头部城市的引导发展，对于我国传统制造业优势地区的转型升级同样是我国实现创新战略的重要着力点。</w:t>
      </w:r>
    </w:p>
    <w:p>
      <w:pPr>
        <w:keepNext w:val="0"/>
        <w:keepLines w:val="0"/>
        <w:widowControl/>
        <w:numPr>
          <w:numId w:val="0"/>
        </w:numPr>
        <w:suppressLineNumbers w:val="0"/>
        <w:ind w:firstLine="480" w:firstLineChars="200"/>
        <w:jc w:val="left"/>
        <w:rPr>
          <w:rStyle w:val="6"/>
          <w:rFonts w:hint="eastAsia" w:ascii="微软雅黑" w:hAnsi="微软雅黑" w:eastAsia="微软雅黑" w:cs="微软雅黑"/>
          <w:color w:val="FF0000"/>
          <w:kern w:val="0"/>
          <w:sz w:val="24"/>
          <w:szCs w:val="24"/>
          <w:bdr w:val="none" w:color="auto" w:sz="0" w:space="0"/>
          <w:lang w:val="en-US" w:eastAsia="zh-CN" w:bidi="ar"/>
        </w:rPr>
      </w:pPr>
    </w:p>
    <w:p>
      <w:pPr>
        <w:keepNext w:val="0"/>
        <w:keepLines w:val="0"/>
        <w:widowControl/>
        <w:numPr>
          <w:numId w:val="0"/>
        </w:numPr>
        <w:suppressLineNumbers w:val="0"/>
        <w:ind w:firstLine="480" w:firstLineChars="200"/>
        <w:jc w:val="left"/>
        <w:rPr>
          <w:rStyle w:val="6"/>
          <w:rFonts w:hint="eastAsia" w:ascii="微软雅黑" w:hAnsi="微软雅黑" w:eastAsia="微软雅黑" w:cs="微软雅黑"/>
          <w:color w:val="FF0000"/>
          <w:kern w:val="0"/>
          <w:sz w:val="24"/>
          <w:szCs w:val="24"/>
          <w:bdr w:val="none" w:color="auto" w:sz="0" w:space="0"/>
          <w:lang w:val="en-US" w:eastAsia="zh-CN" w:bidi="ar"/>
        </w:rPr>
      </w:pPr>
      <w:r>
        <w:rPr>
          <w:rStyle w:val="6"/>
          <w:rFonts w:hint="eastAsia" w:ascii="微软雅黑" w:hAnsi="微软雅黑" w:eastAsia="微软雅黑" w:cs="微软雅黑"/>
          <w:color w:val="FF0000"/>
          <w:kern w:val="0"/>
          <w:sz w:val="24"/>
          <w:szCs w:val="24"/>
          <w:bdr w:val="none" w:color="auto" w:sz="0" w:space="0"/>
          <w:lang w:val="en-US" w:eastAsia="zh-CN" w:bidi="ar"/>
        </w:rPr>
        <w:t>二、单项冠军们都专注于哪些产业？</w:t>
      </w:r>
    </w:p>
    <w:p>
      <w:pPr>
        <w:keepNext w:val="0"/>
        <w:keepLines w:val="0"/>
        <w:widowControl/>
        <w:numPr>
          <w:numId w:val="0"/>
        </w:numPr>
        <w:suppressLineNumbers w:val="0"/>
        <w:ind w:firstLine="480" w:firstLineChars="200"/>
        <w:jc w:val="left"/>
        <w:rPr>
          <w:color w:val="auto"/>
          <w:sz w:val="24"/>
          <w:szCs w:val="24"/>
        </w:rPr>
      </w:pPr>
      <w:r>
        <w:rPr>
          <w:rStyle w:val="6"/>
          <w:rFonts w:hint="eastAsia" w:ascii="微软雅黑" w:hAnsi="微软雅黑" w:eastAsia="微软雅黑" w:cs="微软雅黑"/>
          <w:color w:val="FF0000"/>
          <w:kern w:val="0"/>
          <w:sz w:val="24"/>
          <w:szCs w:val="24"/>
          <w:bdr w:val="none" w:color="auto" w:sz="0" w:space="0"/>
          <w:lang w:val="en-US" w:eastAsia="zh-CN" w:bidi="ar"/>
        </w:rPr>
        <w:t>产业类型</w:t>
      </w:r>
      <w:r>
        <w:rPr>
          <w:rFonts w:ascii="宋体" w:hAnsi="宋体" w:eastAsia="宋体" w:cs="宋体"/>
          <w:color w:val="auto"/>
          <w:kern w:val="0"/>
          <w:sz w:val="24"/>
          <w:szCs w:val="24"/>
          <w:bdr w:val="none" w:color="auto" w:sz="0" w:space="0"/>
          <w:lang w:val="en-US" w:eastAsia="zh-CN" w:bidi="ar"/>
        </w:rPr>
        <w:drawing>
          <wp:inline distT="0" distB="0" distL="114300" distR="114300">
            <wp:extent cx="5258435" cy="7834630"/>
            <wp:effectExtent l="0" t="0" r="12065" b="12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58435" cy="78346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right="0" w:firstLine="500" w:firstLineChars="200"/>
        <w:jc w:val="right"/>
        <w:rPr>
          <w:rStyle w:val="6"/>
          <w:rFonts w:hint="eastAsia" w:ascii="微软雅黑" w:hAnsi="微软雅黑" w:eastAsia="微软雅黑" w:cs="微软雅黑"/>
          <w:color w:val="auto"/>
          <w:spacing w:val="5"/>
          <w:sz w:val="24"/>
          <w:szCs w:val="24"/>
          <w:bdr w:val="none" w:color="auto" w:sz="0" w:space="0"/>
        </w:rPr>
      </w:pPr>
      <w:r>
        <w:rPr>
          <w:rStyle w:val="6"/>
          <w:rFonts w:hint="eastAsia" w:ascii="微软雅黑" w:hAnsi="微软雅黑" w:eastAsia="微软雅黑" w:cs="微软雅黑"/>
          <w:color w:val="auto"/>
          <w:spacing w:val="5"/>
          <w:sz w:val="24"/>
          <w:szCs w:val="24"/>
          <w:bdr w:val="none" w:color="auto" w:sz="0" w:space="0"/>
        </w:rPr>
        <w:t>单项冠军所属领域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right="0" w:firstLine="500" w:firstLineChars="200"/>
        <w:jc w:val="both"/>
        <w:rPr>
          <w:rFonts w:hint="eastAsia" w:ascii="微软雅黑" w:hAnsi="微软雅黑" w:eastAsia="微软雅黑" w:cs="微软雅黑"/>
          <w:color w:val="auto"/>
          <w:spacing w:val="5"/>
          <w:sz w:val="24"/>
          <w:szCs w:val="24"/>
          <w:bdr w:val="none" w:color="auto" w:sz="0" w:space="0"/>
        </w:rPr>
      </w:pPr>
      <w:r>
        <w:rPr>
          <w:rFonts w:hint="eastAsia" w:ascii="微软雅黑" w:hAnsi="微软雅黑" w:eastAsia="微软雅黑" w:cs="微软雅黑"/>
          <w:color w:val="auto"/>
          <w:spacing w:val="5"/>
          <w:sz w:val="24"/>
          <w:szCs w:val="24"/>
          <w:bdr w:val="none" w:color="auto" w:sz="0" w:space="0"/>
        </w:rPr>
        <w:t>基于企业数量表征的整体单项冠军所属产业类型，可分为三大板块：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right="0" w:firstLine="500" w:firstLineChars="200"/>
        <w:jc w:val="both"/>
        <w:rPr>
          <w:rFonts w:hint="eastAsia" w:ascii="微软雅黑" w:hAnsi="微软雅黑" w:eastAsia="微软雅黑" w:cs="微软雅黑"/>
          <w:color w:val="auto"/>
          <w:spacing w:val="5"/>
          <w:sz w:val="24"/>
          <w:szCs w:val="24"/>
          <w:bdr w:val="none" w:color="auto" w:sz="0" w:space="0"/>
        </w:rPr>
      </w:pPr>
      <w:r>
        <w:rPr>
          <w:rFonts w:hint="eastAsia" w:ascii="微软雅黑" w:hAnsi="微软雅黑" w:eastAsia="微软雅黑" w:cs="微软雅黑"/>
          <w:color w:val="auto"/>
          <w:spacing w:val="5"/>
          <w:sz w:val="24"/>
          <w:szCs w:val="24"/>
          <w:bdr w:val="none" w:color="auto" w:sz="0" w:space="0"/>
        </w:rPr>
        <w:t>第一大板块企业数量占比达到64.87%，从主营产品上看，整体技术密集程度相对较高，包括通用设备制造业、化学原料和化学制品制造业、计算机、通信和其他电子设备制造业、专用设备制造业、电气机械和器材制造业、金属制品业以及汽车制造业等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right="0" w:firstLine="500" w:firstLineChars="200"/>
        <w:jc w:val="both"/>
        <w:rPr>
          <w:rFonts w:hint="eastAsia" w:ascii="微软雅黑" w:hAnsi="微软雅黑" w:eastAsia="微软雅黑" w:cs="微软雅黑"/>
          <w:color w:val="auto"/>
          <w:spacing w:val="5"/>
          <w:sz w:val="24"/>
          <w:szCs w:val="24"/>
          <w:bdr w:val="none" w:color="auto" w:sz="0" w:space="0"/>
        </w:rPr>
      </w:pPr>
      <w:r>
        <w:rPr>
          <w:rFonts w:hint="eastAsia" w:ascii="微软雅黑" w:hAnsi="微软雅黑" w:eastAsia="微软雅黑" w:cs="微软雅黑"/>
          <w:color w:val="auto"/>
          <w:spacing w:val="5"/>
          <w:sz w:val="24"/>
          <w:szCs w:val="24"/>
          <w:bdr w:val="none" w:color="auto" w:sz="0" w:space="0"/>
        </w:rPr>
        <w:t>第二大板块企业数量占比为26.1%，主营产品的技术密集程度相对次之，包括科技推广与应用服务业、纺织业、非金属矿物制品业等；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right="0" w:firstLine="480" w:firstLineChars="200"/>
        <w:jc w:val="both"/>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第三大板块企业数量仅占9.03%，多以传统制造业为主。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rFonts w:hint="eastAsia" w:ascii="微软雅黑" w:hAnsi="微软雅黑" w:eastAsia="微软雅黑" w:cs="微软雅黑"/>
          <w:b/>
          <w:bCs/>
          <w:color w:val="FF0000"/>
          <w:kern w:val="0"/>
          <w:sz w:val="24"/>
          <w:szCs w:val="24"/>
          <w:lang w:val="en-US" w:eastAsia="zh-CN" w:bidi="ar"/>
        </w:rPr>
      </w:pPr>
      <w:r>
        <w:rPr>
          <w:rFonts w:hint="eastAsia" w:ascii="微软雅黑" w:hAnsi="微软雅黑" w:eastAsia="微软雅黑" w:cs="微软雅黑"/>
          <w:b/>
          <w:bCs/>
          <w:color w:val="FF0000"/>
          <w:kern w:val="0"/>
          <w:sz w:val="24"/>
          <w:szCs w:val="24"/>
          <w:lang w:val="en-US" w:eastAsia="zh-CN" w:bidi="ar"/>
        </w:rPr>
        <w:t>城市特点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z w:val="24"/>
          <w:szCs w:val="24"/>
        </w:rPr>
      </w:pPr>
      <w:r>
        <w:rPr>
          <w:rFonts w:hint="eastAsia" w:ascii="微软雅黑" w:hAnsi="微软雅黑" w:eastAsia="微软雅黑" w:cs="微软雅黑"/>
          <w:color w:val="auto"/>
          <w:kern w:val="0"/>
          <w:sz w:val="24"/>
          <w:szCs w:val="24"/>
          <w:bdr w:val="none" w:color="auto" w:sz="0" w:space="0"/>
          <w:lang w:val="en-US" w:eastAsia="zh-CN" w:bidi="ar"/>
        </w:rPr>
        <w:t>对主要城市单项冠军企业的专注领域进行分析，可以总结为这样三种类型：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第一种是综合型城市，例如宁波市、烟台市、南通市、南京市、济南市、天津市等城市，单项冠军企业分布的领域较多，没有相对主导的制造业领域；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第二种是具有一两个主导领域的城市，例如深圳市、上海市、常州市、徐州市、无锡市、佛山市、武汉市、广州市等城市，主导制造业优势明显，绝大多数城市都属于这样的类型；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第三种是仅仅有少量单一制造领域的城市，例如长春市、银川市、柳州市、太原市、石家庄市、包头市等城市，大多为依托城市原有制造业基础而孕育单项冠军企业，数量少，专注于某一单一领域。</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01285" cy="7586980"/>
            <wp:effectExtent l="0" t="0" r="5715" b="762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201285" cy="75869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主要城市单项冠军的专注领域</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总体而言，我国单项冠军的产业高精尖特征还是比较明显的，这有别于传统的制造业。从主要城市单项冠军们的专注领域来看，地区孕育单项冠军企业基本上是基于两大条件：要么是经济发达，技术、人才、资本等特别雄厚，要么就是城市本身就具有某种类型的产业基础。基础薄弱城市寄希望于培育高精尖产业而带动本地经济，需要长时间的积累。</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p>
    <w:p>
      <w:pPr>
        <w:keepNext w:val="0"/>
        <w:keepLines w:val="0"/>
        <w:widowControl/>
        <w:suppressLineNumbers w:val="0"/>
        <w:ind w:firstLine="480" w:firstLineChars="200"/>
        <w:jc w:val="left"/>
        <w:rPr>
          <w:rStyle w:val="6"/>
          <w:rFonts w:hint="eastAsia" w:ascii="微软雅黑" w:hAnsi="微软雅黑" w:eastAsia="微软雅黑" w:cs="微软雅黑"/>
          <w:color w:val="FF0000"/>
          <w:kern w:val="0"/>
          <w:sz w:val="24"/>
          <w:szCs w:val="24"/>
          <w:bdr w:val="none" w:color="auto" w:sz="0" w:space="0"/>
          <w:lang w:val="en-US" w:eastAsia="zh-CN" w:bidi="ar"/>
        </w:rPr>
      </w:pPr>
      <w:r>
        <w:rPr>
          <w:rStyle w:val="6"/>
          <w:rFonts w:hint="eastAsia" w:ascii="微软雅黑" w:hAnsi="微软雅黑" w:eastAsia="微软雅黑" w:cs="微软雅黑"/>
          <w:color w:val="FF0000"/>
          <w:kern w:val="0"/>
          <w:sz w:val="24"/>
          <w:szCs w:val="24"/>
          <w:bdr w:val="none" w:color="auto" w:sz="0" w:space="0"/>
          <w:lang w:val="en-US" w:eastAsia="zh-CN" w:bidi="ar"/>
        </w:rPr>
        <w:t>三、各行业单项冠军的空间分布特点</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不同行业的单项冠军企业在空间分布上大致呈现</w:t>
      </w:r>
      <w:r>
        <w:rPr>
          <w:rStyle w:val="6"/>
          <w:rFonts w:hint="eastAsia" w:ascii="微软雅黑" w:hAnsi="微软雅黑" w:eastAsia="微软雅黑" w:cs="微软雅黑"/>
          <w:color w:val="auto"/>
          <w:kern w:val="0"/>
          <w:sz w:val="24"/>
          <w:szCs w:val="24"/>
          <w:bdr w:val="none" w:color="auto" w:sz="0" w:space="0"/>
          <w:lang w:val="en-US" w:eastAsia="zh-CN" w:bidi="ar"/>
        </w:rPr>
        <w:t>连绵成片、核心集聚、散点分布</w:t>
      </w:r>
      <w:r>
        <w:rPr>
          <w:rFonts w:hint="eastAsia" w:ascii="微软雅黑" w:hAnsi="微软雅黑" w:eastAsia="微软雅黑" w:cs="微软雅黑"/>
          <w:color w:val="auto"/>
          <w:kern w:val="0"/>
          <w:sz w:val="24"/>
          <w:szCs w:val="24"/>
          <w:bdr w:val="none" w:color="auto" w:sz="0" w:space="0"/>
          <w:lang w:val="en-US" w:eastAsia="zh-CN" w:bidi="ar"/>
        </w:rPr>
        <w:t>三种类型。</w:t>
      </w:r>
    </w:p>
    <w:p>
      <w:pPr>
        <w:keepNext w:val="0"/>
        <w:keepLines w:val="0"/>
        <w:widowControl/>
        <w:suppressLineNumbers w:val="0"/>
        <w:ind w:firstLine="480" w:firstLineChars="200"/>
        <w:jc w:val="left"/>
        <w:rPr>
          <w:color w:val="auto"/>
          <w:sz w:val="24"/>
          <w:szCs w:val="24"/>
        </w:rPr>
      </w:pPr>
      <w:r>
        <w:rPr>
          <w:rStyle w:val="6"/>
          <w:rFonts w:hint="eastAsia" w:ascii="微软雅黑" w:hAnsi="微软雅黑" w:eastAsia="微软雅黑" w:cs="微软雅黑"/>
          <w:color w:val="auto"/>
          <w:kern w:val="0"/>
          <w:sz w:val="24"/>
          <w:szCs w:val="24"/>
          <w:bdr w:val="none" w:color="auto" w:sz="0" w:space="0"/>
          <w:lang w:val="en-US" w:eastAsia="zh-CN" w:bidi="ar"/>
        </w:rPr>
        <w:t>连绵成片</w:t>
      </w:r>
      <w:r>
        <w:rPr>
          <w:rFonts w:hint="eastAsia" w:ascii="微软雅黑" w:hAnsi="微软雅黑" w:eastAsia="微软雅黑" w:cs="微软雅黑"/>
          <w:color w:val="auto"/>
          <w:kern w:val="0"/>
          <w:sz w:val="24"/>
          <w:szCs w:val="24"/>
          <w:bdr w:val="none" w:color="auto" w:sz="0" w:space="0"/>
          <w:lang w:val="en-US" w:eastAsia="zh-CN" w:bidi="ar"/>
        </w:rPr>
        <w:t>呈现连绵分布的行业主要包括“化学原料和化学制品制造，通用设备制造，纺织业，汽车制造业”。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化学原料和化学制品制造领域的单项冠军企业主要生产化学新材料，作为其他高新产品的原料。空间上，主要分布在长三角、山东半岛等地区，在杭州市、宁波市、绍兴市、济南市、合肥市等城市形成连绵成片形态。</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17795" cy="3184525"/>
            <wp:effectExtent l="0" t="0" r="1905" b="31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17795" cy="3184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化学原料和化学制品制造业空间分布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通用设备制造可用于多个行业的设备制造。在长三角形成大面积连绵成片区域，如杭州、宁波、苏州、上海以及合肥等城市，在山东半岛也形成连片形态。</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54625" cy="3206750"/>
            <wp:effectExtent l="0" t="0" r="3175" b="635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54625" cy="3206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right"/>
        <w:rPr>
          <w:color w:val="auto"/>
          <w:sz w:val="24"/>
          <w:szCs w:val="24"/>
        </w:rPr>
      </w:pPr>
      <w:r>
        <w:rPr>
          <w:rStyle w:val="6"/>
          <w:rFonts w:hint="eastAsia" w:ascii="微软雅黑" w:hAnsi="微软雅黑" w:eastAsia="微软雅黑" w:cs="微软雅黑"/>
          <w:color w:val="auto"/>
          <w:sz w:val="24"/>
          <w:szCs w:val="24"/>
          <w:bdr w:val="none" w:color="auto" w:sz="0" w:space="0"/>
        </w:rPr>
        <w:t>通用设备制造业空间分布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纺织业以服装制造为主，成片分布在苏南浙北以及山东半岛。</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46370" cy="3201670"/>
            <wp:effectExtent l="0" t="0" r="11430" b="1143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5246370" cy="32016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纺织业空间分布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rPr>
          <w:color w:val="auto"/>
          <w:spacing w:val="5"/>
          <w:sz w:val="24"/>
          <w:szCs w:val="24"/>
        </w:rPr>
      </w:pPr>
      <w:r>
        <w:rPr>
          <w:rFonts w:hint="eastAsia" w:ascii="微软雅黑" w:hAnsi="微软雅黑" w:eastAsia="微软雅黑" w:cs="微软雅黑"/>
          <w:color w:val="auto"/>
          <w:spacing w:val="5"/>
          <w:sz w:val="24"/>
          <w:szCs w:val="24"/>
          <w:bdr w:val="none" w:color="auto" w:sz="0" w:space="0"/>
        </w:rPr>
        <w:t>汽车制造业主要分布在长三角地区，沪杭甬、苏锡常、浙西南等地区热点突出，其次在京津与山东半岛地区也形成连片形态。除这两大区域外，汽车制造业在十堰市、长春市、西安市等城市形成集聚点。</w:t>
      </w:r>
    </w:p>
    <w:p>
      <w:pPr>
        <w:keepNext w:val="0"/>
        <w:keepLines w:val="0"/>
        <w:widowControl/>
        <w:suppressLineNumbers w:val="0"/>
        <w:ind w:left="480" w:hanging="480" w:hangingChars="200"/>
        <w:jc w:val="left"/>
        <w:rPr>
          <w:rFonts w:ascii="宋体" w:hAnsi="宋体" w:eastAsia="宋体" w:cs="宋体"/>
          <w:color w:val="auto"/>
          <w:kern w:val="0"/>
          <w:sz w:val="24"/>
          <w:szCs w:val="24"/>
          <w:bdr w:val="none" w:color="auto" w:sz="0" w:space="0"/>
          <w:lang w:val="en-US" w:eastAsia="zh-CN" w:bidi="ar"/>
        </w:rPr>
      </w:pPr>
      <w:r>
        <w:rPr>
          <w:rFonts w:ascii="宋体" w:hAnsi="宋体" w:eastAsia="宋体" w:cs="宋体"/>
          <w:color w:val="auto"/>
          <w:kern w:val="0"/>
          <w:sz w:val="24"/>
          <w:szCs w:val="24"/>
          <w:bdr w:val="none" w:color="auto" w:sz="0" w:space="0"/>
          <w:lang w:val="en-US" w:eastAsia="zh-CN" w:bidi="ar"/>
        </w:rPr>
        <w:drawing>
          <wp:inline distT="0" distB="0" distL="114300" distR="114300">
            <wp:extent cx="5187950" cy="3166110"/>
            <wp:effectExtent l="0" t="0" r="6350" b="889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5187950" cy="316611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ind w:left="0" w:firstLine="480" w:firstLineChars="200"/>
        <w:jc w:val="right"/>
        <w:textAlignment w:val="auto"/>
        <w:rPr>
          <w:rStyle w:val="6"/>
          <w:rFonts w:hint="eastAsia" w:ascii="微软雅黑" w:hAnsi="微软雅黑" w:eastAsia="微软雅黑" w:cs="微软雅黑"/>
          <w:color w:val="auto"/>
          <w:kern w:val="0"/>
          <w:sz w:val="24"/>
          <w:szCs w:val="24"/>
          <w:bdr w:val="none" w:color="auto" w:sz="0" w:space="0"/>
          <w:lang w:val="en-US" w:eastAsia="zh-CN" w:bidi="ar"/>
        </w:rPr>
      </w:pPr>
      <w:r>
        <w:rPr>
          <w:rStyle w:val="6"/>
          <w:rFonts w:hint="eastAsia" w:ascii="微软雅黑" w:hAnsi="微软雅黑" w:eastAsia="微软雅黑" w:cs="微软雅黑"/>
          <w:color w:val="auto"/>
          <w:kern w:val="0"/>
          <w:sz w:val="24"/>
          <w:szCs w:val="24"/>
          <w:bdr w:val="none" w:color="auto" w:sz="0" w:space="0"/>
          <w:lang w:val="en-US" w:eastAsia="zh-CN" w:bidi="ar"/>
        </w:rPr>
        <w:t>汽车制造业空间分布</w:t>
      </w:r>
    </w:p>
    <w:p>
      <w:pPr>
        <w:keepNext w:val="0"/>
        <w:keepLines w:val="0"/>
        <w:pageBreakBefore w:val="0"/>
        <w:widowControl/>
        <w:suppressLineNumbers w:val="0"/>
        <w:kinsoku/>
        <w:wordWrap/>
        <w:overflowPunct/>
        <w:topLinePunct w:val="0"/>
        <w:autoSpaceDE/>
        <w:autoSpaceDN/>
        <w:bidi w:val="0"/>
        <w:adjustRightInd/>
        <w:snapToGrid/>
        <w:ind w:left="0" w:firstLine="482" w:firstLineChars="200"/>
        <w:jc w:val="left"/>
        <w:textAlignment w:val="auto"/>
        <w:rPr>
          <w:color w:val="auto"/>
          <w:sz w:val="24"/>
          <w:szCs w:val="24"/>
        </w:rPr>
      </w:pPr>
      <w:r>
        <w:rPr>
          <w:rStyle w:val="6"/>
          <w:rFonts w:ascii="宋体" w:hAnsi="宋体" w:eastAsia="宋体" w:cs="宋体"/>
          <w:color w:val="auto"/>
          <w:kern w:val="0"/>
          <w:sz w:val="24"/>
          <w:szCs w:val="24"/>
          <w:bdr w:val="none" w:color="auto" w:sz="0" w:space="0"/>
          <w:lang w:val="en-US" w:eastAsia="zh-CN" w:bidi="ar"/>
        </w:rPr>
        <w:t>核心集聚</w:t>
      </w:r>
      <w:r>
        <w:rPr>
          <w:rFonts w:hint="eastAsia" w:ascii="微软雅黑" w:hAnsi="微软雅黑" w:eastAsia="微软雅黑" w:cs="微软雅黑"/>
          <w:color w:val="auto"/>
          <w:kern w:val="0"/>
          <w:sz w:val="24"/>
          <w:szCs w:val="24"/>
          <w:bdr w:val="none" w:color="auto" w:sz="0" w:space="0"/>
          <w:lang w:val="en-US" w:eastAsia="zh-CN" w:bidi="ar"/>
        </w:rPr>
        <w:t>呈现核心集聚的行业主要包括“专用设备制造业，铁路、航空、船舶和其他运输设备制造业，计算机、通信和其他电子设备制造业”。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专业设备制造业主要是生产与能源、建筑工程有关的机械设备，主要分布在长三角地区，在宁波市、上海市、杭州市、台州市、苏州市等城市集聚分布。此外，北京市、徐州市也分别形成一个集聚核心。</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08905" cy="3178810"/>
            <wp:effectExtent l="0" t="0" r="10795" b="889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208905" cy="31788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专用设备制造业空间分布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铁路、航空、船舶和其他运输设备制造业集中分布在长三角地区，尤其是常州市、上海市两座城市，在广州市也形成一个集聚核心。</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51450" cy="3204845"/>
            <wp:effectExtent l="0" t="0" r="6350" b="825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251450" cy="3204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铁路、航空、船舶和其他运输设备制造业空间分布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rPr>
          <w:color w:val="auto"/>
          <w:spacing w:val="5"/>
          <w:sz w:val="24"/>
          <w:szCs w:val="24"/>
        </w:rPr>
      </w:pPr>
      <w:r>
        <w:rPr>
          <w:rFonts w:hint="eastAsia" w:ascii="微软雅黑" w:hAnsi="微软雅黑" w:eastAsia="微软雅黑" w:cs="微软雅黑"/>
          <w:color w:val="auto"/>
          <w:spacing w:val="5"/>
          <w:sz w:val="24"/>
          <w:szCs w:val="24"/>
          <w:bdr w:val="none" w:color="auto" w:sz="0" w:space="0"/>
        </w:rPr>
        <w:t>计算机、通信和其他电子设备制造业主要分布在北京市、长三角以及珠三角地区，形成三大集聚核心，同时在其他地区形成多个散点。</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74310" cy="3218180"/>
            <wp:effectExtent l="0" t="0" r="8890" b="762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274310" cy="32181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rStyle w:val="6"/>
          <w:rFonts w:hint="eastAsia" w:ascii="微软雅黑" w:hAnsi="微软雅黑" w:eastAsia="微软雅黑" w:cs="微软雅黑"/>
          <w:color w:val="auto"/>
          <w:kern w:val="0"/>
          <w:sz w:val="24"/>
          <w:szCs w:val="24"/>
          <w:bdr w:val="none" w:color="auto" w:sz="0" w:space="0"/>
          <w:lang w:val="en-US" w:eastAsia="zh-CN" w:bidi="ar"/>
        </w:rPr>
      </w:pPr>
      <w:r>
        <w:rPr>
          <w:rStyle w:val="6"/>
          <w:rFonts w:hint="eastAsia" w:ascii="微软雅黑" w:hAnsi="微软雅黑" w:eastAsia="微软雅黑" w:cs="微软雅黑"/>
          <w:color w:val="auto"/>
          <w:spacing w:val="5"/>
          <w:sz w:val="24"/>
          <w:szCs w:val="24"/>
          <w:bdr w:val="none" w:color="auto" w:sz="0" w:space="0"/>
        </w:rPr>
        <w:t>计算机、通信和其他电子设备制造业</w:t>
      </w:r>
      <w:r>
        <w:rPr>
          <w:rStyle w:val="6"/>
          <w:rFonts w:hint="eastAsia" w:ascii="微软雅黑" w:hAnsi="微软雅黑" w:eastAsia="微软雅黑" w:cs="微软雅黑"/>
          <w:color w:val="auto"/>
          <w:kern w:val="0"/>
          <w:sz w:val="24"/>
          <w:szCs w:val="24"/>
          <w:bdr w:val="none" w:color="auto" w:sz="0" w:space="0"/>
          <w:lang w:val="en-US" w:eastAsia="zh-CN" w:bidi="ar"/>
        </w:rPr>
        <w:t>空间分布</w:t>
      </w:r>
    </w:p>
    <w:p>
      <w:pPr>
        <w:keepNext w:val="0"/>
        <w:keepLines w:val="0"/>
        <w:widowControl/>
        <w:suppressLineNumbers w:val="0"/>
        <w:ind w:firstLine="482" w:firstLineChars="200"/>
        <w:jc w:val="left"/>
        <w:rPr>
          <w:rStyle w:val="6"/>
          <w:rFonts w:ascii="宋体" w:hAnsi="宋体" w:eastAsia="宋体" w:cs="宋体"/>
          <w:color w:val="auto"/>
          <w:kern w:val="0"/>
          <w:sz w:val="24"/>
          <w:szCs w:val="24"/>
          <w:bdr w:val="none" w:color="auto" w:sz="0" w:space="0"/>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lang w:val="en-US" w:eastAsia="zh-CN" w:bidi="ar"/>
        </w:rPr>
      </w:pPr>
      <w:r>
        <w:rPr>
          <w:rFonts w:hint="eastAsia" w:ascii="微软雅黑" w:hAnsi="微软雅黑" w:eastAsia="微软雅黑" w:cs="微软雅黑"/>
          <w:color w:val="auto"/>
          <w:kern w:val="0"/>
          <w:sz w:val="24"/>
          <w:szCs w:val="24"/>
          <w:lang w:val="en-US" w:eastAsia="zh-CN" w:bidi="ar"/>
        </w:rPr>
        <w:t>散点分布</w:t>
      </w:r>
    </w:p>
    <w:p>
      <w:pPr>
        <w:keepNext w:val="0"/>
        <w:keepLines w:val="0"/>
        <w:widowControl/>
        <w:suppressLineNumbers w:val="0"/>
        <w:ind w:firstLine="480" w:firstLineChars="200"/>
        <w:jc w:val="left"/>
        <w:rPr>
          <w:color w:val="auto"/>
          <w:sz w:val="24"/>
          <w:szCs w:val="24"/>
        </w:rPr>
      </w:pPr>
      <w:r>
        <w:rPr>
          <w:rFonts w:hint="eastAsia" w:ascii="微软雅黑" w:hAnsi="微软雅黑" w:eastAsia="微软雅黑" w:cs="微软雅黑"/>
          <w:color w:val="auto"/>
          <w:kern w:val="0"/>
          <w:sz w:val="24"/>
          <w:szCs w:val="24"/>
          <w:bdr w:val="none" w:color="auto" w:sz="0" w:space="0"/>
          <w:lang w:val="en-US" w:eastAsia="zh-CN" w:bidi="ar"/>
        </w:rPr>
        <w:t>呈现散点分布的行业主要包括“医药制造业，金属制品业，非金属矿物制品业”。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医药制造企业数量少，且散布在多个城市，没有形成明显集聚核心，也未连绵成片。</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365115" cy="3274060"/>
            <wp:effectExtent l="0" t="0" r="6985" b="254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365115" cy="32740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医药制造业空间分布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金属制品业主要生产钢、铝制品，用于智能设备与建筑工业。在长三角地区的苏州市、常州市、南通市形成集聚，但在其他地区呈现出散布状态。</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50815" cy="3204210"/>
            <wp:effectExtent l="0" t="0" r="6985" b="889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250815" cy="32042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金属制品业空间分布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非金属矿物制品业主要是生产新能源玻璃，大多数地区以散点分布的形态为主。</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181600" cy="3161665"/>
            <wp:effectExtent l="0" t="0" r="0" b="63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181600" cy="31616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非金属矿物制造业空间分布</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三种分布形态意味着三种不同的发展模式。</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连绵成片分布的企业依托基础优势，同时与其他企业配合协作；</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核心集聚分布是因为企业要依托强大智力、技术支持，共享资源，所以形成集聚核心；</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散点分布考虑是由于受到政策影响较大，城市之间存在竞争的可能性。</w:t>
      </w:r>
    </w:p>
    <w:p>
      <w:pPr>
        <w:keepNext w:val="0"/>
        <w:keepLines w:val="0"/>
        <w:widowControl/>
        <w:suppressLineNumbers w:val="0"/>
        <w:ind w:firstLine="480" w:firstLineChars="20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通过三种分布形态，可以初步发现：依托单个城市必不是良好的发展模式，需突破城市，在更广域的城市群层面形成配合协作，这样才能使产业发展壮大。</w:t>
      </w:r>
    </w:p>
    <w:p>
      <w:pPr>
        <w:keepNext w:val="0"/>
        <w:keepLines w:val="0"/>
        <w:widowControl/>
        <w:suppressLineNumbers w:val="0"/>
        <w:ind w:firstLine="480" w:firstLineChars="200"/>
        <w:jc w:val="left"/>
        <w:rPr>
          <w:rFonts w:hint="eastAsia" w:ascii="微软雅黑" w:hAnsi="微软雅黑" w:eastAsia="微软雅黑" w:cs="微软雅黑"/>
          <w:color w:val="FF0000"/>
          <w:kern w:val="0"/>
          <w:sz w:val="24"/>
          <w:szCs w:val="24"/>
          <w:bdr w:val="none" w:color="auto" w:sz="0" w:space="0"/>
          <w:lang w:val="en-US" w:eastAsia="zh-CN" w:bidi="ar"/>
        </w:rPr>
      </w:pPr>
    </w:p>
    <w:p>
      <w:pPr>
        <w:keepNext w:val="0"/>
        <w:keepLines w:val="0"/>
        <w:widowControl/>
        <w:numPr>
          <w:ilvl w:val="0"/>
          <w:numId w:val="1"/>
        </w:numPr>
        <w:suppressLineNumbers w:val="0"/>
        <w:ind w:firstLine="480" w:firstLineChars="200"/>
        <w:jc w:val="left"/>
        <w:rPr>
          <w:rStyle w:val="6"/>
          <w:rFonts w:hint="eastAsia" w:ascii="微软雅黑" w:hAnsi="微软雅黑" w:eastAsia="微软雅黑" w:cs="微软雅黑"/>
          <w:color w:val="FF0000"/>
          <w:kern w:val="0"/>
          <w:sz w:val="24"/>
          <w:szCs w:val="24"/>
          <w:bdr w:val="none" w:color="auto" w:sz="0" w:space="0"/>
          <w:lang w:val="en-US" w:eastAsia="zh-CN" w:bidi="ar"/>
        </w:rPr>
      </w:pPr>
      <w:r>
        <w:rPr>
          <w:rStyle w:val="6"/>
          <w:rFonts w:hint="eastAsia" w:ascii="微软雅黑" w:hAnsi="微软雅黑" w:eastAsia="微软雅黑" w:cs="微软雅黑"/>
          <w:color w:val="FF0000"/>
          <w:kern w:val="0"/>
          <w:sz w:val="24"/>
          <w:szCs w:val="24"/>
          <w:bdr w:val="none" w:color="auto" w:sz="0" w:space="0"/>
          <w:lang w:val="en-US" w:eastAsia="zh-CN" w:bidi="ar"/>
        </w:rPr>
        <w:t>单项</w:t>
      </w:r>
      <w:r>
        <w:rPr>
          <w:rStyle w:val="6"/>
          <w:rFonts w:hint="eastAsia" w:ascii="微软雅黑" w:hAnsi="微软雅黑" w:eastAsia="微软雅黑" w:cs="微软雅黑"/>
          <w:b/>
          <w:bCs w:val="0"/>
          <w:color w:val="FF0000"/>
          <w:kern w:val="0"/>
          <w:sz w:val="24"/>
          <w:szCs w:val="24"/>
          <w:bdr w:val="none" w:color="auto" w:sz="0" w:space="0"/>
          <w:lang w:val="en-US" w:eastAsia="zh-CN" w:bidi="ar"/>
        </w:rPr>
        <w:t>冠军的企业</w:t>
      </w:r>
      <w:r>
        <w:rPr>
          <w:rStyle w:val="6"/>
          <w:rFonts w:hint="eastAsia" w:ascii="微软雅黑" w:hAnsi="微软雅黑" w:eastAsia="微软雅黑" w:cs="微软雅黑"/>
          <w:color w:val="FF0000"/>
          <w:kern w:val="0"/>
          <w:sz w:val="24"/>
          <w:szCs w:val="24"/>
          <w:bdr w:val="none" w:color="auto" w:sz="0" w:space="0"/>
          <w:lang w:val="en-US" w:eastAsia="zh-CN" w:bidi="ar"/>
        </w:rPr>
        <w:t>规模</w:t>
      </w:r>
    </w:p>
    <w:p>
      <w:pPr>
        <w:keepNext w:val="0"/>
        <w:keepLines w:val="0"/>
        <w:widowControl/>
        <w:numPr>
          <w:numId w:val="0"/>
        </w:numPr>
        <w:suppressLineNumbers w:val="0"/>
        <w:ind w:firstLine="480" w:firstLineChars="200"/>
        <w:jc w:val="left"/>
        <w:rPr>
          <w:color w:val="auto"/>
          <w:sz w:val="24"/>
          <w:szCs w:val="24"/>
        </w:rPr>
      </w:pPr>
      <w:r>
        <w:rPr>
          <w:rStyle w:val="6"/>
          <w:rFonts w:hint="eastAsia" w:ascii="微软雅黑" w:hAnsi="微软雅黑" w:eastAsia="微软雅黑" w:cs="微软雅黑"/>
          <w:b/>
          <w:bCs w:val="0"/>
          <w:color w:val="auto"/>
          <w:kern w:val="0"/>
          <w:sz w:val="24"/>
          <w:szCs w:val="24"/>
          <w:bdr w:val="none" w:color="auto" w:sz="0" w:space="0"/>
          <w:lang w:val="en-US" w:eastAsia="zh-CN" w:bidi="ar"/>
        </w:rPr>
        <w:t>规</w:t>
      </w:r>
      <w:r>
        <w:rPr>
          <w:rStyle w:val="6"/>
          <w:rFonts w:hint="eastAsia" w:ascii="微软雅黑" w:hAnsi="微软雅黑" w:eastAsia="微软雅黑" w:cs="微软雅黑"/>
          <w:b/>
          <w:bCs w:val="0"/>
          <w:color w:val="auto"/>
          <w:kern w:val="0"/>
          <w:sz w:val="24"/>
          <w:szCs w:val="24"/>
          <w:lang w:val="en-US" w:eastAsia="zh-CN" w:bidi="ar"/>
        </w:rPr>
        <w:t>模分布</w:t>
      </w:r>
      <w:r>
        <w:rPr>
          <w:rFonts w:ascii="宋体" w:hAnsi="宋体" w:eastAsia="宋体" w:cs="宋体"/>
          <w:color w:val="auto"/>
          <w:kern w:val="0"/>
          <w:sz w:val="24"/>
          <w:szCs w:val="24"/>
          <w:bdr w:val="none" w:color="auto" w:sz="0" w:space="0"/>
          <w:lang w:val="en-US" w:eastAsia="zh-CN" w:bidi="ar"/>
        </w:rPr>
        <w:drawing>
          <wp:inline distT="0" distB="0" distL="114300" distR="114300">
            <wp:extent cx="5025390" cy="5268595"/>
            <wp:effectExtent l="0" t="0" r="3810" b="190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025390" cy="52685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企业规模区间分布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rPr>
          <w:color w:val="auto"/>
          <w:spacing w:val="5"/>
          <w:sz w:val="24"/>
          <w:szCs w:val="24"/>
        </w:rPr>
      </w:pPr>
      <w:r>
        <w:rPr>
          <w:rFonts w:hint="eastAsia" w:ascii="微软雅黑" w:hAnsi="微软雅黑" w:eastAsia="微软雅黑" w:cs="微软雅黑"/>
          <w:color w:val="auto"/>
          <w:spacing w:val="5"/>
          <w:sz w:val="24"/>
          <w:szCs w:val="24"/>
          <w:bdr w:val="none" w:color="auto" w:sz="0" w:space="0"/>
        </w:rPr>
        <w:t>根据本团队收集整理的单项冠军企业（包含示范企业、培育企业及冠军产品所在企业）参保人数数据——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rPr>
          <w:color w:val="auto"/>
          <w:spacing w:val="5"/>
          <w:sz w:val="24"/>
          <w:szCs w:val="24"/>
        </w:rPr>
      </w:pPr>
      <w:r>
        <w:rPr>
          <w:rFonts w:hint="eastAsia" w:ascii="微软雅黑" w:hAnsi="微软雅黑" w:eastAsia="微软雅黑" w:cs="微软雅黑"/>
          <w:color w:val="auto"/>
          <w:spacing w:val="5"/>
          <w:sz w:val="24"/>
          <w:szCs w:val="24"/>
          <w:bdr w:val="none" w:color="auto" w:sz="0" w:space="0"/>
        </w:rPr>
        <w:t>单项冠军企业规模分布峰值出现在400-600人，600人以上区间呈现出规模越小、数量越多的反向特征，而1万以上的长尾特征也非常明显。</w:t>
      </w:r>
    </w:p>
    <w:p>
      <w:pPr>
        <w:keepNext w:val="0"/>
        <w:keepLines w:val="0"/>
        <w:widowControl/>
        <w:suppressLineNumbers w:val="0"/>
        <w:jc w:val="left"/>
        <w:rPr>
          <w:color w:val="auto"/>
          <w:sz w:val="24"/>
          <w:szCs w:val="24"/>
        </w:rPr>
      </w:pPr>
      <w:r>
        <w:rPr>
          <w:rFonts w:hint="eastAsia" w:ascii="微软雅黑" w:hAnsi="微软雅黑" w:eastAsia="微软雅黑" w:cs="微软雅黑"/>
          <w:color w:val="auto"/>
          <w:kern w:val="0"/>
          <w:sz w:val="24"/>
          <w:szCs w:val="24"/>
          <w:bdr w:val="none" w:color="auto" w:sz="0" w:space="0"/>
          <w:lang w:val="en-US" w:eastAsia="zh-CN" w:bidi="ar"/>
        </w:rPr>
        <w:t>单项冠军企业规模平均数为2000人，而中位数则出现在800人，77%的企业规模小于平均值。</w:t>
      </w:r>
      <w:r>
        <w:rPr>
          <w:rStyle w:val="6"/>
          <w:rFonts w:ascii="宋体" w:hAnsi="宋体" w:eastAsia="宋体" w:cs="宋体"/>
          <w:color w:val="auto"/>
          <w:kern w:val="0"/>
          <w:sz w:val="24"/>
          <w:szCs w:val="24"/>
          <w:bdr w:val="none" w:color="auto" w:sz="0" w:space="0"/>
          <w:lang w:val="en-US" w:eastAsia="zh-CN" w:bidi="ar"/>
        </w:rPr>
        <w:t>空间分布</w:t>
      </w:r>
      <w:r>
        <w:rPr>
          <w:rFonts w:ascii="宋体" w:hAnsi="宋体" w:eastAsia="宋体" w:cs="宋体"/>
          <w:color w:val="auto"/>
          <w:kern w:val="0"/>
          <w:sz w:val="24"/>
          <w:szCs w:val="24"/>
          <w:bdr w:val="none" w:color="auto" w:sz="0" w:space="0"/>
          <w:lang w:val="en-US" w:eastAsia="zh-CN" w:bidi="ar"/>
        </w:rPr>
        <w:drawing>
          <wp:inline distT="0" distB="0" distL="114300" distR="114300">
            <wp:extent cx="5448300" cy="3360420"/>
            <wp:effectExtent l="0" t="0" r="0" b="508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448300" cy="33604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各城市的单项冠军平均规模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在空间上，全国总体呈现出“区域+层级”的叠加特点。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长三角整体呈现出各城市居于中等水平的特点，显示出这些城市其单项冠军企业覆盖各个规模层级，整体实力较强。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而在中原城市群等部分城市群地区，特别是太原、长沙、郑州、武汉、银川等核心城市居于中高水平，这些地区大型龙头企业带动的特征显著。 </w:t>
      </w:r>
    </w:p>
    <w:p>
      <w:pPr>
        <w:keepNext w:val="0"/>
        <w:keepLines w:val="0"/>
        <w:widowControl/>
        <w:suppressLineNumbers w:val="0"/>
        <w:jc w:val="left"/>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而其他地区特征并不突出，除了诸如柳州、金昌等具有特色引领产业的城市规模较大之外，企业平均规模总体上相对较小。</w:t>
      </w:r>
    </w:p>
    <w:p>
      <w:pPr>
        <w:keepNext w:val="0"/>
        <w:keepLines w:val="0"/>
        <w:widowControl/>
        <w:suppressLineNumbers w:val="0"/>
        <w:ind w:firstLine="480" w:firstLineChars="200"/>
        <w:jc w:val="left"/>
        <w:rPr>
          <w:color w:val="auto"/>
          <w:sz w:val="24"/>
          <w:szCs w:val="24"/>
        </w:rPr>
      </w:pPr>
      <w:r>
        <w:rPr>
          <w:rStyle w:val="6"/>
          <w:rFonts w:hint="eastAsia" w:ascii="微软雅黑" w:hAnsi="微软雅黑" w:eastAsia="微软雅黑" w:cs="微软雅黑"/>
          <w:color w:val="auto"/>
          <w:kern w:val="0"/>
          <w:sz w:val="24"/>
          <w:szCs w:val="24"/>
          <w:bdr w:val="none" w:color="auto" w:sz="0" w:space="0"/>
          <w:lang w:val="en-US" w:eastAsia="zh-CN" w:bidi="ar"/>
        </w:rPr>
        <w:t>城市特点</w:t>
      </w:r>
      <w:r>
        <w:rPr>
          <w:rFonts w:ascii="宋体" w:hAnsi="宋体" w:eastAsia="宋体" w:cs="宋体"/>
          <w:color w:val="auto"/>
          <w:kern w:val="0"/>
          <w:sz w:val="24"/>
          <w:szCs w:val="24"/>
          <w:bdr w:val="none" w:color="auto" w:sz="0" w:space="0"/>
          <w:lang w:val="en-US" w:eastAsia="zh-CN" w:bidi="ar"/>
        </w:rPr>
        <w:drawing>
          <wp:inline distT="0" distB="0" distL="114300" distR="114300">
            <wp:extent cx="5483225" cy="4509135"/>
            <wp:effectExtent l="0" t="0" r="3175" b="1206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483225" cy="45091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各城市的数量与平均规模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从具体城市来看，企业平均规模差异随企业数量的增大而收敛。数量在20家以上的宁波、北京、深圳、杭州和上海其城市平均企业规模在2000人上下。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而数量在10-20家的常州、青岛、苏州、南通、泰安、烟台、淄博、长沙、潍坊等地，其城市平均企业规模则分布在1000-7000人左右。数量在10家以下的城市其差异化则更为明显。</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64150" cy="4309745"/>
            <wp:effectExtent l="0" t="0" r="6350" b="825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5264150" cy="43097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数量TOP30城的分规模区间数量累计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rFonts w:hint="eastAsia" w:ascii="微软雅黑" w:hAnsi="微软雅黑" w:eastAsia="微软雅黑" w:cs="微软雅黑"/>
          <w:color w:val="auto"/>
          <w:spacing w:val="5"/>
          <w:sz w:val="24"/>
          <w:szCs w:val="24"/>
          <w:bdr w:val="none" w:color="auto" w:sz="0" w:space="0"/>
        </w:rPr>
      </w:pPr>
      <w:r>
        <w:rPr>
          <w:rFonts w:hint="eastAsia" w:ascii="微软雅黑" w:hAnsi="微软雅黑" w:eastAsia="微软雅黑" w:cs="微软雅黑"/>
          <w:color w:val="auto"/>
          <w:spacing w:val="5"/>
          <w:sz w:val="24"/>
          <w:szCs w:val="24"/>
          <w:bdr w:val="none" w:color="auto" w:sz="0" w:space="0"/>
        </w:rPr>
        <w:t>那么，数量较高城市的平均规模差异较小会不会是“被平均”造成的巧合呢？进一步从数量排名前30城市的分规模区间企业数量累计来看， 参保人数200-2000人的区间是其最集中分布的区间，可见企业数量较高城市在企业规模构成上是存在一定的相似性的。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rFonts w:hint="eastAsia" w:ascii="微软雅黑" w:hAnsi="微软雅黑" w:eastAsia="微软雅黑" w:cs="微软雅黑"/>
          <w:color w:val="auto"/>
          <w:kern w:val="0"/>
          <w:sz w:val="24"/>
          <w:szCs w:val="24"/>
          <w:bdr w:val="none" w:color="auto" w:sz="0" w:space="0"/>
          <w:lang w:val="en-US" w:eastAsia="zh-CN" w:bidi="ar"/>
        </w:rPr>
      </w:pPr>
      <w:r>
        <w:rPr>
          <w:rFonts w:hint="eastAsia" w:ascii="微软雅黑" w:hAnsi="微软雅黑" w:eastAsia="微软雅黑" w:cs="微软雅黑"/>
          <w:color w:val="auto"/>
          <w:kern w:val="0"/>
          <w:sz w:val="24"/>
          <w:szCs w:val="24"/>
          <w:bdr w:val="none" w:color="auto" w:sz="0" w:space="0"/>
          <w:lang w:val="en-US" w:eastAsia="zh-CN" w:bidi="ar"/>
        </w:rPr>
        <w:t>从本期的分析可以发现，尽管存在“巨无霸”型的单项冠军，但大量的单项冠军都集中在规模较小的数值区间，特别是综合实力较强的城市，这一特征更为明显。而在其他一般城市，既有少数几家龙头企业带动的城市，也存在以规模较小的特色培育型企业为主的城市。</w:t>
      </w:r>
    </w:p>
    <w:p>
      <w:pPr>
        <w:keepNext w:val="0"/>
        <w:keepLines w:val="0"/>
        <w:widowControl/>
        <w:suppressLineNumbers w:val="0"/>
        <w:jc w:val="left"/>
        <w:rPr>
          <w:rStyle w:val="6"/>
          <w:rFonts w:hint="eastAsia" w:ascii="微软雅黑" w:hAnsi="微软雅黑" w:eastAsia="微软雅黑" w:cs="微软雅黑"/>
          <w:color w:val="auto"/>
          <w:kern w:val="0"/>
          <w:sz w:val="24"/>
          <w:szCs w:val="24"/>
          <w:bdr w:val="none" w:color="auto" w:sz="0" w:space="0"/>
          <w:lang w:val="en-US" w:eastAsia="zh-CN" w:bidi="ar"/>
        </w:rPr>
      </w:pPr>
    </w:p>
    <w:p>
      <w:pPr>
        <w:keepNext w:val="0"/>
        <w:keepLines w:val="0"/>
        <w:widowControl/>
        <w:suppressLineNumbers w:val="0"/>
        <w:ind w:firstLine="480" w:firstLineChars="200"/>
        <w:jc w:val="left"/>
        <w:rPr>
          <w:rStyle w:val="6"/>
          <w:rFonts w:hint="eastAsia" w:ascii="微软雅黑" w:hAnsi="微软雅黑" w:eastAsia="微软雅黑" w:cs="微软雅黑"/>
          <w:color w:val="auto"/>
          <w:kern w:val="0"/>
          <w:sz w:val="24"/>
          <w:szCs w:val="24"/>
          <w:bdr w:val="none" w:color="auto" w:sz="0" w:space="0"/>
          <w:lang w:val="en-US" w:eastAsia="zh-CN" w:bidi="ar"/>
        </w:rPr>
      </w:pPr>
    </w:p>
    <w:p>
      <w:pPr>
        <w:keepNext w:val="0"/>
        <w:keepLines w:val="0"/>
        <w:widowControl/>
        <w:suppressLineNumbers w:val="0"/>
        <w:ind w:firstLine="480" w:firstLineChars="200"/>
        <w:jc w:val="left"/>
        <w:rPr>
          <w:rStyle w:val="6"/>
          <w:rFonts w:hint="eastAsia" w:ascii="微软雅黑" w:hAnsi="微软雅黑" w:eastAsia="微软雅黑" w:cs="微软雅黑"/>
          <w:color w:val="FF0000"/>
          <w:kern w:val="0"/>
          <w:sz w:val="24"/>
          <w:szCs w:val="24"/>
          <w:bdr w:val="none" w:color="auto" w:sz="0" w:space="0"/>
          <w:lang w:val="en-US" w:eastAsia="zh-CN" w:bidi="ar"/>
        </w:rPr>
      </w:pPr>
      <w:r>
        <w:rPr>
          <w:rStyle w:val="6"/>
          <w:rFonts w:hint="eastAsia" w:ascii="微软雅黑" w:hAnsi="微软雅黑" w:eastAsia="微软雅黑" w:cs="微软雅黑"/>
          <w:color w:val="FF0000"/>
          <w:kern w:val="0"/>
          <w:sz w:val="24"/>
          <w:szCs w:val="24"/>
          <w:bdr w:val="none" w:color="auto" w:sz="0" w:space="0"/>
          <w:lang w:val="en-US" w:eastAsia="zh-CN" w:bidi="ar"/>
        </w:rPr>
        <w:t>五、单项冠军企业的成立时间</w:t>
      </w:r>
    </w:p>
    <w:p>
      <w:pPr>
        <w:keepNext w:val="0"/>
        <w:keepLines w:val="0"/>
        <w:widowControl/>
        <w:suppressLineNumbers w:val="0"/>
        <w:ind w:firstLine="480" w:firstLineChars="200"/>
        <w:jc w:val="left"/>
        <w:rPr>
          <w:rStyle w:val="6"/>
          <w:rFonts w:hint="eastAsia" w:ascii="微软雅黑" w:hAnsi="微软雅黑" w:eastAsia="微软雅黑" w:cs="微软雅黑"/>
          <w:color w:val="auto"/>
          <w:kern w:val="0"/>
          <w:sz w:val="24"/>
          <w:szCs w:val="24"/>
          <w:lang w:val="en-US" w:eastAsia="zh-CN" w:bidi="ar"/>
        </w:rPr>
      </w:pPr>
      <w:r>
        <w:rPr>
          <w:rStyle w:val="6"/>
          <w:rFonts w:hint="eastAsia" w:ascii="微软雅黑" w:hAnsi="微软雅黑" w:eastAsia="微软雅黑" w:cs="微软雅黑"/>
          <w:color w:val="auto"/>
          <w:kern w:val="0"/>
          <w:sz w:val="24"/>
          <w:szCs w:val="24"/>
          <w:lang w:val="en-US" w:eastAsia="zh-CN" w:bidi="ar"/>
        </w:rPr>
        <w:t>时间特点</w:t>
      </w:r>
    </w:p>
    <w:p>
      <w:pPr>
        <w:keepNext w:val="0"/>
        <w:keepLines w:val="0"/>
        <w:widowControl/>
        <w:suppressLineNumbers w:val="0"/>
        <w:ind w:firstLine="480" w:firstLineChars="200"/>
        <w:jc w:val="left"/>
        <w:rPr>
          <w:color w:val="auto"/>
          <w:sz w:val="24"/>
          <w:szCs w:val="24"/>
        </w:rPr>
      </w:pPr>
      <w:r>
        <w:rPr>
          <w:rStyle w:val="6"/>
          <w:rFonts w:hint="eastAsia" w:ascii="微软雅黑" w:hAnsi="微软雅黑" w:eastAsia="微软雅黑" w:cs="微软雅黑"/>
          <w:color w:val="auto"/>
          <w:kern w:val="0"/>
          <w:sz w:val="24"/>
          <w:szCs w:val="24"/>
          <w:bdr w:val="none" w:color="auto" w:sz="0" w:space="0"/>
          <w:lang w:val="en-US" w:eastAsia="zh-CN" w:bidi="ar"/>
        </w:rPr>
        <w:t>思考1：厚积薄发和弯道超车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单项冠军企业成立时间可划分为三个阶段：1990年以前成立的单项冠军企业较少，每年一般不超过5个；1991年至2010年是单项冠军企业成立时间最集中的时期，其中2003年最高，达到53个；2011年至今成立的单项冠军企业数量又开始变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目前大量的单项冠军企业都经历了10-20年的发展，在技术上有着长期的积累，是创新发展极其重要的基础。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2011年后成立企业大多在新兴方向上有所突破，未来发展潜力较大。</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090160" cy="2927350"/>
            <wp:effectExtent l="0" t="0" r="2540" b="635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5090160" cy="29273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right"/>
        <w:rPr>
          <w:color w:val="auto"/>
          <w:sz w:val="24"/>
          <w:szCs w:val="24"/>
        </w:rPr>
      </w:pPr>
      <w:r>
        <w:rPr>
          <w:rStyle w:val="6"/>
          <w:rFonts w:hint="eastAsia" w:ascii="微软雅黑" w:hAnsi="微软雅黑" w:eastAsia="微软雅黑" w:cs="微软雅黑"/>
          <w:color w:val="auto"/>
          <w:sz w:val="24"/>
          <w:szCs w:val="24"/>
          <w:bdr w:val="none" w:color="auto" w:sz="0" w:space="0"/>
        </w:rPr>
        <w:t>单项冠军企业成立时间特征</w:t>
      </w:r>
    </w:p>
    <w:p>
      <w:pPr>
        <w:keepNext w:val="0"/>
        <w:keepLines w:val="0"/>
        <w:widowControl/>
        <w:suppressLineNumbers w:val="0"/>
        <w:jc w:val="left"/>
        <w:rPr>
          <w:rStyle w:val="6"/>
          <w:rFonts w:ascii="宋体" w:hAnsi="宋体" w:eastAsia="宋体" w:cs="宋体"/>
          <w:color w:val="auto"/>
          <w:kern w:val="0"/>
          <w:sz w:val="24"/>
          <w:szCs w:val="24"/>
          <w:bdr w:val="none" w:color="auto" w:sz="0" w:space="0"/>
          <w:lang w:val="en-US" w:eastAsia="zh-CN" w:bidi="ar"/>
        </w:rPr>
      </w:pPr>
    </w:p>
    <w:p>
      <w:pPr>
        <w:keepNext w:val="0"/>
        <w:keepLines w:val="0"/>
        <w:widowControl/>
        <w:suppressLineNumbers w:val="0"/>
        <w:ind w:firstLine="480" w:firstLineChars="200"/>
        <w:jc w:val="left"/>
        <w:rPr>
          <w:rStyle w:val="6"/>
          <w:rFonts w:hint="eastAsia" w:ascii="微软雅黑" w:hAnsi="微软雅黑" w:eastAsia="微软雅黑" w:cs="微软雅黑"/>
          <w:color w:val="auto"/>
          <w:kern w:val="0"/>
          <w:sz w:val="24"/>
          <w:szCs w:val="24"/>
          <w:lang w:val="en-US" w:eastAsia="zh-CN" w:bidi="ar"/>
        </w:rPr>
      </w:pPr>
      <w:r>
        <w:rPr>
          <w:rStyle w:val="6"/>
          <w:rFonts w:hint="eastAsia" w:ascii="微软雅黑" w:hAnsi="微软雅黑" w:eastAsia="微软雅黑" w:cs="微软雅黑"/>
          <w:color w:val="auto"/>
          <w:kern w:val="0"/>
          <w:sz w:val="24"/>
          <w:szCs w:val="24"/>
          <w:lang w:val="en-US" w:eastAsia="zh-CN" w:bidi="ar"/>
        </w:rPr>
        <w:t>地区特点</w:t>
      </w:r>
    </w:p>
    <w:p>
      <w:pPr>
        <w:keepNext w:val="0"/>
        <w:keepLines w:val="0"/>
        <w:widowControl/>
        <w:suppressLineNumbers w:val="0"/>
        <w:ind w:firstLine="480" w:firstLineChars="200"/>
        <w:jc w:val="left"/>
        <w:rPr>
          <w:color w:val="auto"/>
          <w:sz w:val="24"/>
          <w:szCs w:val="24"/>
        </w:rPr>
      </w:pPr>
      <w:r>
        <w:rPr>
          <w:rStyle w:val="6"/>
          <w:rFonts w:hint="eastAsia" w:ascii="微软雅黑" w:hAnsi="微软雅黑" w:eastAsia="微软雅黑" w:cs="微软雅黑"/>
          <w:color w:val="auto"/>
          <w:kern w:val="0"/>
          <w:sz w:val="24"/>
          <w:szCs w:val="24"/>
          <w:bdr w:val="none" w:color="auto" w:sz="0" w:space="0"/>
          <w:lang w:val="en-US" w:eastAsia="zh-CN" w:bidi="ar"/>
        </w:rPr>
        <w:t>思考2：高成长性和传统优势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山东省企业成立时间相对较近，2001年以来新成立的单项冠军企业占比近80%，其次像上海市、陕西省、四川省、天津市、重庆市的占比也较大，体现了这些地区的高成长性。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另一些省市，例如江苏省、北京市、浙江省，虽单项冠军企业数量较多，但2001年以来新成立的单项冠军企业占比其实并不高，这些地区具有较强的传统优势。</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47640" cy="4033520"/>
            <wp:effectExtent l="0" t="0" r="10160" b="508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5247640" cy="40335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right"/>
        <w:rPr>
          <w:color w:val="auto"/>
          <w:sz w:val="24"/>
          <w:szCs w:val="24"/>
        </w:rPr>
      </w:pPr>
      <w:r>
        <w:rPr>
          <w:rStyle w:val="6"/>
          <w:rFonts w:hint="eastAsia" w:ascii="微软雅黑" w:hAnsi="微软雅黑" w:eastAsia="微软雅黑" w:cs="微软雅黑"/>
          <w:color w:val="auto"/>
          <w:sz w:val="24"/>
          <w:szCs w:val="24"/>
          <w:bdr w:val="none" w:color="auto" w:sz="0" w:space="0"/>
        </w:rPr>
        <w:t>不同时期成立企业空间分布</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27320" cy="2667000"/>
            <wp:effectExtent l="0" t="0" r="5080"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5227320" cy="2667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00" w:afterAutospacing="0" w:line="368" w:lineRule="atLeast"/>
        <w:ind w:left="0" w:right="0" w:firstLine="500" w:firstLineChars="200"/>
        <w:jc w:val="right"/>
        <w:rPr>
          <w:color w:val="auto"/>
          <w:spacing w:val="5"/>
          <w:sz w:val="24"/>
          <w:szCs w:val="24"/>
        </w:rPr>
      </w:pPr>
      <w:r>
        <w:rPr>
          <w:rStyle w:val="6"/>
          <w:rFonts w:hint="eastAsia" w:ascii="微软雅黑" w:hAnsi="微软雅黑" w:eastAsia="微软雅黑" w:cs="微软雅黑"/>
          <w:color w:val="auto"/>
          <w:spacing w:val="5"/>
          <w:sz w:val="24"/>
          <w:szCs w:val="24"/>
          <w:bdr w:val="none" w:color="auto" w:sz="0" w:space="0"/>
        </w:rPr>
        <w:t>不同时期成立企业省级特点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从具体城市上，新近成立的单项冠军企业占比最高的城市多集中在潍坊市、泰安市、长沙市、福州市、湖州市、大连市、淄博市、常州市、南通市、常州市、宁波市、武汉市、苏州市等城市，这些城市新企业成长性高，尤其是潍坊市、泰安市两座城市，2001年以来成立的单项冠军企业超过了85%。</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none" w:color="auto" w:sz="0" w:space="0"/>
          <w:lang w:val="en-US" w:eastAsia="zh-CN" w:bidi="ar"/>
        </w:rPr>
        <w:drawing>
          <wp:inline distT="0" distB="0" distL="114300" distR="114300">
            <wp:extent cx="5215255" cy="2950845"/>
            <wp:effectExtent l="0" t="0" r="4445" b="8255"/>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5215255" cy="2950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firstLine="480" w:firstLineChars="200"/>
        <w:jc w:val="right"/>
        <w:rPr>
          <w:color w:val="auto"/>
          <w:sz w:val="24"/>
          <w:szCs w:val="24"/>
        </w:rPr>
      </w:pPr>
      <w:r>
        <w:rPr>
          <w:rStyle w:val="6"/>
          <w:rFonts w:hint="eastAsia" w:ascii="微软雅黑" w:hAnsi="微软雅黑" w:eastAsia="微软雅黑" w:cs="微软雅黑"/>
          <w:color w:val="auto"/>
          <w:sz w:val="24"/>
          <w:szCs w:val="24"/>
          <w:bdr w:val="none" w:color="auto" w:sz="0" w:space="0"/>
        </w:rPr>
        <w:t>不同时期成立企业城市特征</w:t>
      </w:r>
    </w:p>
    <w:p>
      <w:pPr>
        <w:keepNext w:val="0"/>
        <w:keepLines w:val="0"/>
        <w:widowControl/>
        <w:suppressLineNumbers w:val="0"/>
        <w:jc w:val="left"/>
        <w:rPr>
          <w:rStyle w:val="6"/>
          <w:rFonts w:hint="eastAsia" w:ascii="微软雅黑" w:hAnsi="微软雅黑" w:eastAsia="微软雅黑" w:cs="微软雅黑"/>
          <w:color w:val="auto"/>
          <w:kern w:val="0"/>
          <w:sz w:val="24"/>
          <w:szCs w:val="24"/>
          <w:bdr w:val="none" w:color="auto" w:sz="0" w:space="0"/>
          <w:lang w:val="en-US" w:eastAsia="zh-CN" w:bidi="ar"/>
        </w:rPr>
      </w:pPr>
    </w:p>
    <w:p>
      <w:pPr>
        <w:keepNext w:val="0"/>
        <w:keepLines w:val="0"/>
        <w:widowControl/>
        <w:suppressLineNumbers w:val="0"/>
        <w:ind w:firstLine="480" w:firstLineChars="200"/>
        <w:jc w:val="left"/>
        <w:rPr>
          <w:rStyle w:val="6"/>
          <w:rFonts w:hint="eastAsia" w:ascii="微软雅黑" w:hAnsi="微软雅黑" w:eastAsia="微软雅黑" w:cs="微软雅黑"/>
          <w:color w:val="auto"/>
          <w:kern w:val="0"/>
          <w:sz w:val="24"/>
          <w:szCs w:val="24"/>
          <w:bdr w:val="none" w:color="auto" w:sz="0" w:space="0"/>
          <w:lang w:val="en-US" w:eastAsia="zh-CN" w:bidi="ar"/>
        </w:rPr>
      </w:pPr>
      <w:r>
        <w:rPr>
          <w:rStyle w:val="6"/>
          <w:rFonts w:hint="eastAsia" w:ascii="微软雅黑" w:hAnsi="微软雅黑" w:eastAsia="微软雅黑" w:cs="微软雅黑"/>
          <w:color w:val="auto"/>
          <w:kern w:val="0"/>
          <w:sz w:val="24"/>
          <w:szCs w:val="24"/>
          <w:bdr w:val="none" w:color="auto" w:sz="0" w:space="0"/>
          <w:lang w:val="en-US" w:eastAsia="zh-CN" w:bidi="ar"/>
        </w:rPr>
        <w:t>产业特点</w:t>
      </w:r>
    </w:p>
    <w:p>
      <w:pPr>
        <w:keepNext w:val="0"/>
        <w:keepLines w:val="0"/>
        <w:widowControl/>
        <w:suppressLineNumbers w:val="0"/>
        <w:ind w:firstLine="480" w:firstLineChars="200"/>
        <w:jc w:val="left"/>
        <w:rPr>
          <w:color w:val="auto"/>
          <w:sz w:val="24"/>
          <w:szCs w:val="24"/>
        </w:rPr>
      </w:pPr>
      <w:r>
        <w:rPr>
          <w:rStyle w:val="6"/>
          <w:rFonts w:hint="eastAsia" w:ascii="微软雅黑" w:hAnsi="微软雅黑" w:eastAsia="微软雅黑" w:cs="微软雅黑"/>
          <w:color w:val="auto"/>
          <w:kern w:val="0"/>
          <w:sz w:val="24"/>
          <w:szCs w:val="24"/>
          <w:bdr w:val="none" w:color="auto" w:sz="0" w:space="0"/>
          <w:lang w:val="en-US" w:eastAsia="zh-CN" w:bidi="ar"/>
        </w:rPr>
        <w:t>思考3：产业领域的更新叠代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00" w:beforeAutospacing="0" w:after="100" w:afterAutospacing="0" w:line="368" w:lineRule="atLeast"/>
        <w:ind w:left="0" w:right="0" w:firstLine="420"/>
        <w:jc w:val="both"/>
        <w:rPr>
          <w:color w:val="auto"/>
          <w:spacing w:val="5"/>
          <w:sz w:val="24"/>
          <w:szCs w:val="24"/>
        </w:rPr>
      </w:pPr>
      <w:r>
        <w:rPr>
          <w:rFonts w:hint="eastAsia" w:ascii="微软雅黑" w:hAnsi="微软雅黑" w:eastAsia="微软雅黑" w:cs="微软雅黑"/>
          <w:color w:val="auto"/>
          <w:spacing w:val="5"/>
          <w:sz w:val="24"/>
          <w:szCs w:val="24"/>
          <w:bdr w:val="none" w:color="auto" w:sz="0" w:space="0"/>
        </w:rPr>
        <w:t>专用设备制造业，化学原料和化学制品制造业，计算机、通信和其他电子设备制造业，非金属矿物制品业、仪器仪表制造业，科技推广和应用服务业2001年以来新成立的单项冠军企业占比超过了60%，这些行业覆盖了近些年来的发展重点。</w:t>
      </w:r>
    </w:p>
    <w:p>
      <w:pPr>
        <w:keepNext w:val="0"/>
        <w:keepLines w:val="0"/>
        <w:widowControl/>
        <w:suppressLineNumbers w:val="0"/>
        <w:jc w:val="left"/>
        <w:rPr>
          <w:color w:val="auto"/>
          <w:sz w:val="24"/>
          <w:szCs w:val="24"/>
        </w:rPr>
      </w:pPr>
      <w:r>
        <w:rPr>
          <w:rFonts w:ascii="宋体" w:hAnsi="宋体" w:eastAsia="宋体" w:cs="宋体"/>
          <w:color w:val="auto"/>
          <w:kern w:val="0"/>
          <w:sz w:val="24"/>
          <w:szCs w:val="24"/>
          <w:bdr w:val="single" w:color="EEEDEB" w:sz="4" w:space="0"/>
          <w:shd w:val="clear" w:fill="EEEDEB"/>
          <w:lang w:val="en-US" w:eastAsia="zh-CN" w:bidi="ar"/>
        </w:rPr>
        <w:drawing>
          <wp:inline distT="0" distB="0" distL="114300" distR="114300">
            <wp:extent cx="5236210" cy="2745105"/>
            <wp:effectExtent l="0" t="0" r="8890" b="1079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5236210" cy="27451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ind w:left="0" w:right="0"/>
        <w:jc w:val="right"/>
        <w:rPr>
          <w:color w:val="auto"/>
          <w:sz w:val="24"/>
          <w:szCs w:val="24"/>
        </w:rPr>
      </w:pPr>
      <w:r>
        <w:rPr>
          <w:rStyle w:val="6"/>
          <w:rFonts w:hint="eastAsia" w:ascii="微软雅黑" w:hAnsi="微软雅黑" w:eastAsia="微软雅黑" w:cs="微软雅黑"/>
          <w:color w:val="auto"/>
          <w:sz w:val="24"/>
          <w:szCs w:val="24"/>
          <w:bdr w:val="none" w:color="auto" w:sz="0" w:space="0"/>
        </w:rPr>
        <w:t>不同时期成立企业分行业特征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auto"/>
          <w:sz w:val="24"/>
          <w:szCs w:val="24"/>
        </w:rPr>
      </w:pPr>
    </w:p>
    <w:p>
      <w:pPr>
        <w:rPr>
          <w:color w:val="auto"/>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A0B50F"/>
    <w:multiLevelType w:val="singleLevel"/>
    <w:tmpl w:val="10A0B50F"/>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23E36EF"/>
    <w:rsid w:val="67940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2022-01-26T14:19:11Z</dcterms:created>
  <dc:creator>Administrator</dc:creator>
  <cp:lastModifiedBy>曹争鸣</cp:lastModifiedBy>
  <dcterms:modified xsi:type="dcterms:W3CDTF">2022-01-26T14:44:17Z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2DDA6D353CE84E61988B12109355B073</vt:lpwstr>
  </property>
</Properties>
</file>