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 w:line="315" w:lineRule="atLeast"/>
        <w:ind w:right="0" w:firstLine="620" w:firstLineChars="200"/>
        <w:jc w:val="both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pacing w:val="15"/>
          <w:sz w:val="28"/>
          <w:szCs w:val="28"/>
          <w:bdr w:val="none" w:color="auto" w:sz="0" w:space="0"/>
        </w:rPr>
        <w:t>人民银行常州市中心支行已在市政务服务中心网点（锦绣路2号2号楼2楼36、37窗口）布设了企业信用报告自助查询机，相较于人工柜台查询，无需纸质申请材料、全程电子化操作、节省人工审核时间，企业法定代表人或授权经办人仅需携带手机和身份证即可查询，查得的报告与人工柜台查询完全一致，查询效率大大提高。后续人民银行将继续增设企业自助查询网点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kern w:val="0"/>
          <w:sz w:val="28"/>
          <w:szCs w:val="28"/>
          <w:bdr w:val="none" w:color="auto" w:sz="0" w:space="0"/>
          <w:lang w:val="en-US" w:eastAsia="zh-CN" w:bidi="ar"/>
        </w:rPr>
        <w:br w:type="textWrapping"/>
      </w:r>
      <w:r>
        <w:rPr>
          <w:rStyle w:val="5"/>
          <w:rFonts w:hint="eastAsia" w:ascii="微软雅黑" w:hAnsi="微软雅黑" w:eastAsia="微软雅黑" w:cs="微软雅黑"/>
          <w:spacing w:val="15"/>
          <w:kern w:val="0"/>
          <w:sz w:val="28"/>
          <w:szCs w:val="28"/>
          <w:bdr w:val="none" w:color="auto" w:sz="0" w:space="0"/>
          <w:lang w:val="en-US" w:eastAsia="zh-CN" w:bidi="ar"/>
        </w:rPr>
        <w:t>扫码刷证自助查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5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color w:val="0070C0"/>
          <w:spacing w:val="15"/>
          <w:sz w:val="28"/>
          <w:szCs w:val="28"/>
          <w:bdr w:val="none" w:color="auto" w:sz="0" w:space="0"/>
        </w:rPr>
        <w:t>企业法定代表人先下载电子营业执照，自行使用或授权经办人使用。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300" w:afterAutospacing="0" w:line="315" w:lineRule="atLeast"/>
        <w:ind w:left="0" w:right="0" w:firstLine="420"/>
        <w:jc w:val="both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color w:val="0070C0"/>
          <w:spacing w:val="15"/>
          <w:sz w:val="28"/>
          <w:szCs w:val="28"/>
          <w:bdr w:val="none" w:color="auto" w:sz="0" w:space="0"/>
        </w:rPr>
        <w:t>法定代表人或授权经办人下载电子营业执照后，携带本人身份证原件（必须为有效且有磁性的第二代居民身份证）及手机前往自助查询网点办理。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kern w:val="0"/>
          <w:sz w:val="28"/>
          <w:szCs w:val="28"/>
          <w:bdr w:val="none" w:color="auto" w:sz="0" w:space="0"/>
          <w:lang w:val="en-US" w:eastAsia="zh-CN" w:bidi="ar"/>
        </w:rPr>
      </w:pPr>
      <w:r>
        <w:rPr>
          <w:rFonts w:hint="eastAsia" w:ascii="微软雅黑" w:hAnsi="微软雅黑" w:eastAsia="微软雅黑" w:cs="微软雅黑"/>
          <w:kern w:val="0"/>
          <w:sz w:val="28"/>
          <w:szCs w:val="28"/>
          <w:bdr w:val="none" w:color="auto" w:sz="0" w:space="0"/>
          <w:lang w:val="en-US" w:eastAsia="zh-CN" w:bidi="ar"/>
        </w:rPr>
        <w:br w:type="textWrapping"/>
      </w:r>
      <w:r>
        <w:rPr>
          <w:rStyle w:val="5"/>
          <w:rFonts w:hint="eastAsia" w:ascii="微软雅黑" w:hAnsi="微软雅黑" w:eastAsia="微软雅黑" w:cs="微软雅黑"/>
          <w:kern w:val="0"/>
          <w:sz w:val="28"/>
          <w:szCs w:val="28"/>
          <w:bdr w:val="none" w:color="auto" w:sz="0" w:space="0"/>
          <w:lang w:val="en-US" w:eastAsia="zh-CN" w:bidi="ar"/>
        </w:rPr>
        <w:t>NO.1下载电子营业执照流程图</w:t>
      </w:r>
      <w:r>
        <w:rPr>
          <w:rFonts w:hint="eastAsia" w:ascii="微软雅黑" w:hAnsi="微软雅黑" w:eastAsia="微软雅黑" w:cs="微软雅黑"/>
          <w:kern w:val="0"/>
          <w:sz w:val="28"/>
          <w:szCs w:val="28"/>
          <w:bdr w:val="none" w:color="auto" w:sz="0" w:space="0"/>
          <w:lang w:val="en-US" w:eastAsia="zh-CN" w:bidi="ar"/>
        </w:rPr>
        <w:drawing>
          <wp:inline distT="0" distB="0" distL="114300" distR="114300">
            <wp:extent cx="4667250" cy="7003415"/>
            <wp:effectExtent l="0" t="0" r="0" b="6985"/>
            <wp:docPr id="5" name="图片 1" descr="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 descr="1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67250" cy="70034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kern w:val="0"/>
          <w:sz w:val="28"/>
          <w:szCs w:val="28"/>
          <w:bdr w:val="none" w:color="auto" w:sz="0" w:space="0"/>
          <w:lang w:val="en-US" w:eastAsia="zh-CN" w:bidi="ar"/>
        </w:rPr>
        <w:br w:type="textWrapping"/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Style w:val="5"/>
          <w:rFonts w:hint="eastAsia" w:ascii="微软雅黑" w:hAnsi="微软雅黑" w:eastAsia="微软雅黑" w:cs="微软雅黑"/>
          <w:kern w:val="0"/>
          <w:sz w:val="28"/>
          <w:szCs w:val="28"/>
          <w:bdr w:val="none" w:color="auto" w:sz="0" w:space="0"/>
          <w:lang w:val="en-US" w:eastAsia="zh-CN" w:bidi="ar"/>
        </w:rPr>
        <w:t>NO.2法人授权办事人流程图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drawing>
          <wp:inline distT="0" distB="0" distL="114300" distR="114300">
            <wp:extent cx="4419600" cy="6630035"/>
            <wp:effectExtent l="0" t="0" r="0" b="18415"/>
            <wp:docPr id="1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66300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kern w:val="0"/>
          <w:sz w:val="28"/>
          <w:szCs w:val="28"/>
          <w:bdr w:val="none" w:color="auto" w:sz="0" w:space="0"/>
          <w:lang w:val="en-US" w:eastAsia="zh-CN" w:bidi="ar"/>
        </w:rPr>
        <w:br w:type="textWrapping"/>
      </w:r>
      <w:r>
        <w:rPr>
          <w:rStyle w:val="5"/>
          <w:rFonts w:hint="eastAsia" w:ascii="微软雅黑" w:hAnsi="微软雅黑" w:eastAsia="微软雅黑" w:cs="微软雅黑"/>
          <w:kern w:val="0"/>
          <w:sz w:val="28"/>
          <w:szCs w:val="28"/>
          <w:bdr w:val="none" w:color="auto" w:sz="0" w:space="0"/>
          <w:lang w:val="en-US" w:eastAsia="zh-CN" w:bidi="ar"/>
        </w:rPr>
        <w:t>NO.3自助机查询操作流程图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  <w:sz w:val="28"/>
          <w:szCs w:val="28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  <w:sz w:val="28"/>
          <w:szCs w:val="28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drawing>
          <wp:inline distT="0" distB="0" distL="114300" distR="114300">
            <wp:extent cx="3522980" cy="8808720"/>
            <wp:effectExtent l="0" t="0" r="1270" b="11430"/>
            <wp:docPr id="6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22980" cy="88087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keepNext w:val="0"/>
        <w:keepLines w:val="0"/>
        <w:widowControl/>
        <w:suppressLineNumbers w:val="0"/>
        <w:jc w:val="left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kern w:val="0"/>
          <w:sz w:val="28"/>
          <w:szCs w:val="28"/>
          <w:bdr w:val="none" w:color="auto" w:sz="0" w:space="0"/>
          <w:lang w:val="en-US" w:eastAsia="zh-CN" w:bidi="ar"/>
        </w:rPr>
        <w:br w:type="textWrapping"/>
      </w:r>
      <w:r>
        <w:rPr>
          <w:rStyle w:val="5"/>
          <w:rFonts w:hint="eastAsia" w:ascii="微软雅黑" w:hAnsi="微软雅黑" w:eastAsia="微软雅黑" w:cs="微软雅黑"/>
          <w:spacing w:val="15"/>
          <w:kern w:val="0"/>
          <w:sz w:val="28"/>
          <w:szCs w:val="28"/>
          <w:bdr w:val="none" w:color="auto" w:sz="0" w:space="0"/>
          <w:lang w:val="en-US" w:eastAsia="zh-CN" w:bidi="ar"/>
        </w:rPr>
        <w:t>足不出户线上查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 w:line="315" w:lineRule="atLeast"/>
        <w:ind w:left="0" w:right="0"/>
        <w:jc w:val="both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color w:val="2D7EC1"/>
          <w:spacing w:val="15"/>
          <w:sz w:val="28"/>
          <w:szCs w:val="28"/>
          <w:bdr w:val="none" w:color="auto" w:sz="0" w:space="0"/>
        </w:rPr>
        <w:t>1.企业可通过商业银行网银或银行手机APP线上查询企业信用报告。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 w:line="315" w:lineRule="atLeast"/>
        <w:ind w:left="0" w:right="0"/>
        <w:jc w:val="both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color w:val="2D7EC1"/>
          <w:spacing w:val="15"/>
          <w:sz w:val="28"/>
          <w:szCs w:val="28"/>
          <w:bdr w:val="none" w:color="auto" w:sz="0" w:space="0"/>
        </w:rPr>
        <w:t>2.通过微信搜索</w:t>
      </w:r>
      <w:r>
        <w:rPr>
          <w:rStyle w:val="5"/>
          <w:rFonts w:hint="eastAsia" w:ascii="微软雅黑" w:hAnsi="微软雅黑" w:eastAsia="微软雅黑" w:cs="微软雅黑"/>
          <w:color w:val="2D7EC1"/>
          <w:spacing w:val="15"/>
          <w:sz w:val="28"/>
          <w:szCs w:val="28"/>
          <w:bdr w:val="none" w:color="auto" w:sz="0" w:space="0"/>
        </w:rPr>
        <w:t>“苏信帮”小程序</w:t>
      </w:r>
      <w:r>
        <w:rPr>
          <w:rFonts w:hint="eastAsia" w:ascii="微软雅黑" w:hAnsi="微软雅黑" w:eastAsia="微软雅黑" w:cs="微软雅黑"/>
          <w:color w:val="2D7EC1"/>
          <w:spacing w:val="15"/>
          <w:sz w:val="28"/>
          <w:szCs w:val="28"/>
          <w:bdr w:val="none" w:color="auto" w:sz="0" w:space="0"/>
        </w:rPr>
        <w:t>，了解企业信用报告线上查询渠道，获取查询操作指引。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 w:line="315" w:lineRule="atLeast"/>
        <w:ind w:left="0" w:right="0"/>
        <w:jc w:val="center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color w:val="2D7EC1"/>
          <w:spacing w:val="15"/>
          <w:sz w:val="28"/>
          <w:szCs w:val="28"/>
          <w:bdr w:val="none" w:color="auto" w:sz="0" w:space="0"/>
        </w:rPr>
        <w:drawing>
          <wp:inline distT="0" distB="0" distL="114300" distR="114300">
            <wp:extent cx="2076450" cy="2076450"/>
            <wp:effectExtent l="0" t="0" r="0" b="0"/>
            <wp:docPr id="4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5" descr="IMG_26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7645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25" w:afterAutospacing="0" w:line="315" w:lineRule="atLeast"/>
        <w:ind w:left="0" w:right="0"/>
        <w:jc w:val="both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color w:val="2D7EC1"/>
          <w:spacing w:val="15"/>
          <w:sz w:val="28"/>
          <w:szCs w:val="28"/>
          <w:bdr w:val="none" w:color="auto" w:sz="0" w:space="0"/>
        </w:rPr>
        <w:t>3.进入小程序后，选择“线上查询”-“企业信用报告”模块，展示已开通企业信用报告线上查询的银行。点击对应银行图标，跟随“鼠标”点击即可模拟查询流程。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75" w:afterAutospacing="0" w:line="315" w:lineRule="atLeast"/>
        <w:ind w:left="0" w:right="0"/>
        <w:jc w:val="both"/>
        <w:rPr>
          <w:rFonts w:hint="eastAsia"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color w:val="2D7EC1"/>
          <w:spacing w:val="15"/>
          <w:sz w:val="28"/>
          <w:szCs w:val="28"/>
          <w:bdr w:val="none" w:color="auto" w:sz="0" w:space="0"/>
        </w:rPr>
        <w:t>4.企业根据操作指引，登录对应的开户银行网银或手机银行APP进行查询。</w:t>
      </w:r>
    </w:p>
    <w:p>
      <w:pPr>
        <w:rPr>
          <w:rFonts w:hint="eastAsia" w:ascii="微软雅黑" w:hAnsi="微软雅黑" w:eastAsia="微软雅黑" w:cs="微软雅黑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ingFangSC-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BjNzEyM2RlYjAxYzEwODM3NTdiZjA4MjUzZjcyOTIifQ=="/>
  </w:docVars>
  <w:rsids>
    <w:rsidRoot w:val="00000000"/>
    <w:rsid w:val="02852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478</Words>
  <Characters>499</Characters>
  <Lines>0</Lines>
  <Paragraphs>0</Paragraphs>
  <TotalTime>1</TotalTime>
  <ScaleCrop>false</ScaleCrop>
  <LinksUpToDate>false</LinksUpToDate>
  <CharactersWithSpaces>499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2023-01-13T03:54:03Z</dcterms:created>
  <dc:creator>DELL</dc:creator>
  <cp:lastModifiedBy>曹争鸣</cp:lastModifiedBy>
  <dcterms:modified xsi:type="dcterms:W3CDTF">2023-01-13T03:56:43Z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09283294A79B4B888AAC2E3920996225</vt:lpwstr>
  </property>
</Properties>
</file>