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40" w:afterAutospacing="0" w:line="14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sz w:val="24"/>
          <w:szCs w:val="24"/>
          <w:bdr w:val="none" w:color="auto" w:sz="0" w:space="0"/>
          <w:shd w:val="clear" w:fill="FFFFFF"/>
        </w:rPr>
        <w:t>《中国潜在独角兽企业研究报告2023》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0" w:afterAutospacing="0" w:line="20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"javascript:void(0);"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8"/>
          <w:rFonts w:hint="eastAsia" w:ascii="微软雅黑" w:hAnsi="微软雅黑" w:eastAsia="微软雅黑" w:cs="微软雅黑"/>
          <w:i w:val="0"/>
          <w:iCs w:val="0"/>
          <w:caps w:val="0"/>
          <w:spacing w:val="5"/>
          <w:sz w:val="24"/>
          <w:szCs w:val="24"/>
          <w:u w:val="none"/>
          <w:bdr w:val="none" w:color="auto" w:sz="0" w:space="0"/>
          <w:shd w:val="clear" w:fill="FFFFFF"/>
        </w:rPr>
        <w:t>长城战略咨询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2023-06-20 15:58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发表于江苏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80" w:right="80" w:firstLine="500" w:firstLineChars="20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sz w:val="24"/>
          <w:szCs w:val="24"/>
          <w:bdr w:val="none" w:color="auto" w:sz="0" w:space="0"/>
          <w:shd w:val="clear" w:fill="FFFFFF"/>
        </w:rPr>
        <w:t>潜在独角兽企业作为独角兽企业的后备军，是科技骨干型企业的典型代表，在引领科技创新、开拓新领域新赛道、塑造发展新动能新优势等方面发挥了重要作用。2023年6月20日，在2023中国（苏州）独角兽企业大会上，长城战略咨询重磅发布了《中国潜在独角兽企业研究报告2023》，总结了潜在独角兽企业群体的发展特征。报告显示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0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2022年中国共有653家潜在独角兽企业。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其中，成立5年之内最新一轮融资的投后估值达到1亿美元的企业共427家，成立5－9年最新一轮融资的投后估值达到5亿美元的企业共226家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0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2022年中国潜在独角兽企业分布于54个城市。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其中，北京138家，上海118家，苏州75家，深圳54家，四地企业数量占全国总数的59%；广州、杭州、南京潜在独角兽企业数量均在25家以上。值得关注的是，常州、东营、广安、绵阳、宜春、镇江等13个城市首次出现潜在独角兽企业。超九成潜在独角兽企业分布于京津冀、长三角、粤港澳大湾区、成渝四个城市群，共598家；超六成潜在独角兽企业分布于31个国家高新区，共431家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0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2022年中国潜在独角兽企业分布于41个赛道。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集成电路是潜在独角兽企业数量最多的赛道，达116家，创新药赛道111家；企业数字运营、人工智能、数字医疗、创新医疗器械等赛道的企业数量均在25家及以上，合成生物、农业科技等赛道首次出现潜在独角兽企业。2022年新晋241家潜在独角兽企业，分布于35个赛道。其中，集成电路、创新药、新材料、人工智能赛道企业数量均在10家及以上。集成电路赛道新晋企业数量最多，人工智能赛道热度持续升温，生成式AI成为焦点，AI算力、AI数字人、隐私计算企业涌现，清洁能源赛道光伏企业数量爆发式增长，核聚变、氢能纷纷出现新晋潜在独角兽企业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0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前沿科技潜在独角兽企业数量占比超七成。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2022年共有477家潜在独角兽企业属于前沿科技领域，集成电路、创新药、人工智能等7个赛道企业数量均超20家。中国潜在独角兽企业拥有有效专利17670件，其中有效发明专利6590件。共有114家潜在独角兽企业拥有PCT专利申请量446件，其中创新药赛道企业表现更为突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0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头部投资机构仍是潜在独角兽企业的主要投资力量，产业型大企业、独角兽企业孵化潜在独角兽企业趋势愈发显著。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红杉、高瓴、中金等10家投资机构合计投资了314家潜在独角兽企业。以小米、腾讯为代表的12家新经济平台企业合计投资孵化151家潜在独角兽企业。以药明康德、长城汽车为代表的31家产业型大企业孵化出37家潜在独角兽企业，另有5家潜在独角兽由独角兽或已毕业独角兽企业孵化而来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0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2022年共有48家潜在独角兽晋级为独角兽或成功上市。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2022年有374家潜在企业新获融资，新获融资额共152.6亿美元，近八成集成电路赛道企业在2022年新获融资。2022年有38家企业成长为独角兽企业，有10家企业在海内外资本市场成功上市，其中，7家在上交所科创板上市，2家在港交所上市，1家在纳斯达克上市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80" w:right="8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7"/>
          <w:sz w:val="24"/>
          <w:szCs w:val="24"/>
          <w:bdr w:val="none" w:color="auto" w:sz="0" w:space="0"/>
          <w:shd w:val="clear" w:fill="FFFFFF"/>
        </w:rPr>
        <w:t>附1：2022年中国潜在独角兽企业名单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0" w:right="0"/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spacing w:val="5"/>
          <w:sz w:val="24"/>
          <w:szCs w:val="24"/>
          <w:shd w:val="clear" w:fill="FFFFFF"/>
        </w:rPr>
        <w:drawing>
          <wp:inline distT="0" distB="0" distL="114300" distR="114300">
            <wp:extent cx="2595245" cy="8837930"/>
            <wp:effectExtent l="0" t="0" r="8255" b="127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95245" cy="88379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2939415" cy="9433560"/>
            <wp:effectExtent l="0" t="0" r="6985" b="2540"/>
            <wp:docPr id="2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39415" cy="9433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  <w:drawing>
          <wp:inline distT="0" distB="0" distL="114300" distR="114300">
            <wp:extent cx="2693670" cy="8644255"/>
            <wp:effectExtent l="0" t="0" r="11430" b="4445"/>
            <wp:docPr id="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93670" cy="86442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  <w:drawing>
          <wp:inline distT="0" distB="0" distL="114300" distR="114300">
            <wp:extent cx="2840990" cy="9114790"/>
            <wp:effectExtent l="0" t="0" r="3810" b="3810"/>
            <wp:docPr id="4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40990" cy="9114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shd w:val="clear" w:fill="FFFFFF"/>
        </w:rPr>
        <w:drawing>
          <wp:inline distT="0" distB="0" distL="114300" distR="114300">
            <wp:extent cx="2884170" cy="9254490"/>
            <wp:effectExtent l="0" t="0" r="11430" b="3810"/>
            <wp:docPr id="5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84170" cy="92544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2888615" cy="9269095"/>
            <wp:effectExtent l="0" t="0" r="6985" b="1905"/>
            <wp:docPr id="6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8615" cy="92690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2568575" cy="8245475"/>
            <wp:effectExtent l="0" t="0" r="9525" b="9525"/>
            <wp:docPr id="7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68575" cy="8245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000375" cy="4262755"/>
            <wp:effectExtent l="0" t="0" r="9525" b="4445"/>
            <wp:docPr id="8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42627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80" w:right="80"/>
        <w:jc w:val="both"/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7"/>
          <w:sz w:val="24"/>
          <w:szCs w:val="24"/>
          <w:bdr w:val="none" w:color="auto" w:sz="0" w:space="0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80" w:right="80"/>
        <w:jc w:val="both"/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7"/>
          <w:sz w:val="24"/>
          <w:szCs w:val="24"/>
          <w:bdr w:val="none" w:color="auto" w:sz="0" w:space="0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80" w:right="80"/>
        <w:jc w:val="both"/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7"/>
          <w:sz w:val="24"/>
          <w:szCs w:val="24"/>
          <w:bdr w:val="none" w:color="auto" w:sz="0" w:space="0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80" w:right="80"/>
        <w:jc w:val="both"/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7"/>
          <w:sz w:val="24"/>
          <w:szCs w:val="24"/>
          <w:bdr w:val="none" w:color="auto" w:sz="0" w:space="0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80" w:right="80"/>
        <w:jc w:val="both"/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7"/>
          <w:sz w:val="24"/>
          <w:szCs w:val="24"/>
          <w:bdr w:val="none" w:color="auto" w:sz="0" w:space="0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80" w:right="80"/>
        <w:jc w:val="both"/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7"/>
          <w:sz w:val="24"/>
          <w:szCs w:val="24"/>
          <w:bdr w:val="none" w:color="auto" w:sz="0" w:space="0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80" w:right="80"/>
        <w:jc w:val="both"/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7"/>
          <w:sz w:val="24"/>
          <w:szCs w:val="24"/>
          <w:bdr w:val="none" w:color="auto" w:sz="0" w:space="0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80" w:right="80"/>
        <w:jc w:val="both"/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7"/>
          <w:sz w:val="24"/>
          <w:szCs w:val="24"/>
          <w:bdr w:val="none" w:color="auto" w:sz="0" w:space="0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80" w:right="80" w:firstLine="508" w:firstLineChars="20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7"/>
          <w:sz w:val="24"/>
          <w:szCs w:val="24"/>
          <w:bdr w:val="none" w:color="auto" w:sz="0" w:space="0"/>
          <w:shd w:val="clear" w:fill="FFFFFF"/>
        </w:rPr>
        <w:t>附2：GEI中国潜在独角兽企业标准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500" w:firstLineChars="2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长城战略咨询是国内最早研究和发布“独角兽”榜单的智库机构，自 2016 年起连续七年发布中国独角兽企业榜单及研究报告，自2020年起连续四年发布中国潜在独角兽企业榜单及研究报告。GEI中国潜在独角兽企业遴选依据《高成长企业分类导引》（GB/T 41464-2022）中潜在独角兽企业标准：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500" w:firstLineChars="2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在中国境内注册，具有独立法人资格的非外资控股企业；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leftChars="0" w:right="0" w:rightChars="0" w:firstLine="500" w:firstLineChars="2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 xml:space="preserve">成立时间在9年以内，满足以下条件之一：        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leftChars="200" w:right="0" w:rightChars="0" w:firstLine="500" w:firstLineChars="2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成立5年之内最新一轮融资的投后估值达到1亿美元；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leftChars="200" w:right="0" w:rightChars="0" w:firstLine="508" w:firstLineChars="2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成立5年-9年最新一轮融资的投后估值达到5亿美元；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 xml:space="preserve">        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leftChars="200" w:right="0" w:rightChars="0" w:firstLine="500" w:firstLineChars="20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7A4442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获得过私募投资，且尚未上市。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CDC3F3"/>
    <w:multiLevelType w:val="singleLevel"/>
    <w:tmpl w:val="60CDC3F3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kYjA3ZGNmNmFhOWE1NmVjN2I4YTAwZjhhZTc1YzAifQ=="/>
  </w:docVars>
  <w:rsids>
    <w:rsidRoot w:val="00000000"/>
    <w:rsid w:val="7A12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1447</Words>
  <Characters>1596</Characters>
  <Lines>0</Lines>
  <Paragraphs>0</Paragraphs>
  <TotalTime>4</TotalTime>
  <ScaleCrop>false</ScaleCrop>
  <LinksUpToDate>false</LinksUpToDate>
  <CharactersWithSpaces>1628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2023-06-28T12:03:19Z</dcterms:created>
  <dc:creator>Administrator</dc:creator>
  <cp:lastModifiedBy>曹争鸣</cp:lastModifiedBy>
  <dcterms:modified xsi:type="dcterms:W3CDTF">2023-06-28T12:11:09Z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BB436077D2024C51B4A55830A854E145_12</vt:lpwstr>
  </property>
</Properties>
</file>