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0" w:afterAutospacing="0" w:line="14" w:lineRule="atLeast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spacing w:val="20"/>
          <w:kern w:val="0"/>
          <w:sz w:val="28"/>
          <w:szCs w:val="28"/>
          <w:lang w:val="en-US" w:eastAsia="zh-CN" w:bidi="ar"/>
        </w:rPr>
      </w:pPr>
      <w:bookmarkStart w:id="0" w:name="_GoBack"/>
      <w:r>
        <w:rPr>
          <w:rFonts w:hint="eastAsia" w:ascii="微软雅黑" w:hAnsi="微软雅黑" w:eastAsia="微软雅黑" w:cs="微软雅黑"/>
          <w:b w:val="0"/>
          <w:bCs w:val="0"/>
          <w:spacing w:val="20"/>
          <w:kern w:val="0"/>
          <w:sz w:val="28"/>
          <w:szCs w:val="28"/>
          <w:lang w:val="en-US" w:eastAsia="zh-CN" w:bidi="ar"/>
        </w:rPr>
        <w:t>2023年第一批“江苏精品”名单发布</w:t>
      </w:r>
    </w:p>
    <w:bookmarkEnd w:id="0"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0" w:afterAutospacing="0" w:line="200" w:lineRule="atLeast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spacing w:val="20"/>
          <w:kern w:val="0"/>
          <w:sz w:val="28"/>
          <w:szCs w:val="28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 w:val="0"/>
          <w:spacing w:val="20"/>
          <w:kern w:val="0"/>
          <w:sz w:val="28"/>
          <w:szCs w:val="28"/>
          <w:lang w:val="en-US" w:eastAsia="zh-CN" w:bidi="ar"/>
        </w:rPr>
        <w:t>洪叶 许海燕</w:t>
      </w:r>
      <w:r>
        <w:rPr>
          <w:rFonts w:hint="eastAsia" w:ascii="微软雅黑" w:hAnsi="微软雅黑" w:eastAsia="微软雅黑" w:cs="微软雅黑"/>
          <w:b w:val="0"/>
          <w:bCs w:val="0"/>
          <w:spacing w:val="20"/>
          <w:kern w:val="0"/>
          <w:sz w:val="28"/>
          <w:szCs w:val="28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b w:val="0"/>
          <w:bCs w:val="0"/>
          <w:spacing w:val="20"/>
          <w:kern w:val="0"/>
          <w:sz w:val="28"/>
          <w:szCs w:val="28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spacing w:val="20"/>
          <w:kern w:val="0"/>
          <w:sz w:val="28"/>
          <w:szCs w:val="28"/>
          <w:lang w:val="en-US" w:eastAsia="zh-CN" w:bidi="ar"/>
        </w:rPr>
        <w:instrText xml:space="preserve"> HYPERLINK "javascript:void(0);" </w:instrText>
      </w:r>
      <w:r>
        <w:rPr>
          <w:rFonts w:hint="eastAsia" w:ascii="微软雅黑" w:hAnsi="微软雅黑" w:eastAsia="微软雅黑" w:cs="微软雅黑"/>
          <w:b w:val="0"/>
          <w:bCs w:val="0"/>
          <w:spacing w:val="20"/>
          <w:kern w:val="0"/>
          <w:sz w:val="28"/>
          <w:szCs w:val="28"/>
          <w:lang w:val="en-US" w:eastAsia="zh-CN" w:bidi="ar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spacing w:val="20"/>
          <w:kern w:val="0"/>
          <w:sz w:val="28"/>
          <w:szCs w:val="28"/>
          <w:lang w:val="en-US" w:eastAsia="zh-CN" w:bidi="ar"/>
        </w:rPr>
        <w:t>江苏1号</w:t>
      </w:r>
      <w:r>
        <w:rPr>
          <w:rFonts w:hint="eastAsia" w:ascii="微软雅黑" w:hAnsi="微软雅黑" w:eastAsia="微软雅黑" w:cs="微软雅黑"/>
          <w:b w:val="0"/>
          <w:bCs w:val="0"/>
          <w:spacing w:val="20"/>
          <w:kern w:val="0"/>
          <w:sz w:val="28"/>
          <w:szCs w:val="28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spacing w:val="20"/>
          <w:kern w:val="0"/>
          <w:sz w:val="28"/>
          <w:szCs w:val="28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0" w:afterAutospacing="0" w:line="200" w:lineRule="atLeast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spacing w:val="20"/>
          <w:kern w:val="0"/>
          <w:sz w:val="28"/>
          <w:szCs w:val="28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 w:val="0"/>
          <w:spacing w:val="20"/>
          <w:kern w:val="0"/>
          <w:sz w:val="28"/>
          <w:szCs w:val="28"/>
          <w:lang w:val="en-US" w:eastAsia="zh-CN" w:bidi="ar"/>
        </w:rPr>
        <w:t>2023-10-28 14:02</w:t>
      </w:r>
      <w:r>
        <w:rPr>
          <w:rFonts w:hint="eastAsia" w:ascii="微软雅黑" w:hAnsi="微软雅黑" w:eastAsia="微软雅黑" w:cs="微软雅黑"/>
          <w:b w:val="0"/>
          <w:bCs w:val="0"/>
          <w:spacing w:val="20"/>
          <w:kern w:val="0"/>
          <w:sz w:val="28"/>
          <w:szCs w:val="28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b w:val="0"/>
          <w:bCs w:val="0"/>
          <w:spacing w:val="20"/>
          <w:kern w:val="0"/>
          <w:sz w:val="28"/>
          <w:szCs w:val="28"/>
          <w:lang w:val="en-US" w:eastAsia="zh-CN" w:bidi="ar"/>
        </w:rPr>
        <w:t>发表于江苏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微软雅黑" w:hAnsi="微软雅黑" w:eastAsia="微软雅黑" w:cs="微软雅黑"/>
          <w:spacing w:val="20"/>
          <w:kern w:val="0"/>
          <w:sz w:val="28"/>
          <w:szCs w:val="28"/>
          <w:bdr w:val="none" w:color="auto" w:sz="0" w:space="0"/>
          <w:lang w:val="en-US" w:eastAsia="zh-CN" w:bidi="ar"/>
        </w:rPr>
      </w:pPr>
      <w:r>
        <w:rPr>
          <w:rFonts w:hint="eastAsia" w:ascii="微软雅黑" w:hAnsi="微软雅黑" w:eastAsia="微软雅黑" w:cs="微软雅黑"/>
          <w:spacing w:val="20"/>
          <w:kern w:val="0"/>
          <w:sz w:val="28"/>
          <w:szCs w:val="28"/>
          <w:bdr w:val="none" w:color="auto" w:sz="0" w:space="0"/>
          <w:lang w:val="en-US" w:eastAsia="zh-CN" w:bidi="ar"/>
        </w:rPr>
        <w:t>“江苏精品”是江苏企业的区域品牌，不仅代表着高质量的江苏产品（服务），还代表着江苏信誉、江苏形象、江苏文化、江苏实力。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Style w:val="6"/>
          <w:rFonts w:hint="eastAsia" w:ascii="微软雅黑" w:hAnsi="微软雅黑" w:eastAsia="微软雅黑" w:cs="微软雅黑"/>
          <w:spacing w:val="20"/>
          <w:kern w:val="0"/>
          <w:sz w:val="28"/>
          <w:szCs w:val="28"/>
          <w:bdr w:val="none" w:color="auto" w:sz="0" w:space="0"/>
          <w:lang w:val="en-US" w:eastAsia="zh-CN" w:bidi="ar"/>
        </w:rPr>
      </w:pPr>
      <w:r>
        <w:rPr>
          <w:rFonts w:hint="eastAsia" w:ascii="微软雅黑" w:hAnsi="微软雅黑" w:eastAsia="微软雅黑" w:cs="微软雅黑"/>
          <w:spacing w:val="20"/>
          <w:kern w:val="0"/>
          <w:sz w:val="28"/>
          <w:szCs w:val="28"/>
          <w:bdr w:val="none" w:color="auto" w:sz="0" w:space="0"/>
          <w:lang w:val="en-US" w:eastAsia="zh-CN" w:bidi="ar"/>
        </w:rPr>
        <w:t>10月27日，江苏质量大会举行，会上发布了2023年第一批“江苏精品”认证获证企业名单，</w:t>
      </w:r>
      <w:r>
        <w:rPr>
          <w:rStyle w:val="6"/>
          <w:rFonts w:hint="eastAsia" w:ascii="微软雅黑" w:hAnsi="微软雅黑" w:eastAsia="微软雅黑" w:cs="微软雅黑"/>
          <w:spacing w:val="20"/>
          <w:kern w:val="0"/>
          <w:sz w:val="28"/>
          <w:szCs w:val="28"/>
          <w:bdr w:val="none" w:color="auto" w:sz="0" w:space="0"/>
          <w:lang w:val="en-US" w:eastAsia="zh-CN" w:bidi="ar"/>
        </w:rPr>
        <w:t>共有156家企业156个产品（服务）通过认证。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微软雅黑" w:hAnsi="微软雅黑" w:eastAsia="微软雅黑" w:cs="微软雅黑"/>
          <w:spacing w:val="20"/>
          <w:kern w:val="0"/>
          <w:sz w:val="28"/>
          <w:szCs w:val="28"/>
          <w:bdr w:val="none" w:color="auto" w:sz="0" w:space="0"/>
          <w:lang w:val="en-US" w:eastAsia="zh-CN" w:bidi="ar"/>
        </w:rPr>
      </w:pPr>
      <w:r>
        <w:rPr>
          <w:rFonts w:hint="eastAsia" w:ascii="微软雅黑" w:hAnsi="微软雅黑" w:eastAsia="微软雅黑" w:cs="微软雅黑"/>
          <w:spacing w:val="20"/>
          <w:kern w:val="0"/>
          <w:sz w:val="28"/>
          <w:szCs w:val="28"/>
          <w:bdr w:val="none" w:color="auto" w:sz="0" w:space="0"/>
          <w:lang w:val="en-US" w:eastAsia="zh-CN" w:bidi="ar"/>
        </w:rPr>
        <w:t>为加快建设质量强国，根据《关于打造“江苏精品”品牌推动高质量发展的意见》要求，江苏省质量发展委员会办公室联合省市场监管局等八部门持续加大“江苏精品”品牌培育力度，不断提升企业品牌竞争力。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pacing w:val="20"/>
          <w:kern w:val="0"/>
          <w:sz w:val="28"/>
          <w:szCs w:val="28"/>
          <w:bdr w:val="none" w:color="auto" w:sz="0" w:space="0"/>
          <w:lang w:val="en-US" w:eastAsia="zh-CN" w:bidi="ar"/>
        </w:rPr>
        <w:t>江苏省质量发展委员会办公室表示，希望“江苏精品”认证获证企业珍惜荣誉、再接再厉，牢固树立质量第一的理念，充分发挥示范带动作用，在质量管理、标准制定、品牌引领等方面作出表率，让“精品常精”。全省广大企业要向“江苏精品”认证获证企业学习，瞄准先进标杆，加强质量管理，注重技术创新，深入实施质量提升行动，在提品质、创品牌上下更大功夫，积极争创“江苏精品”品牌，为构建新发展格局，推动经济高质量发展走在前列作出新的更大贡献。</w:t>
      </w:r>
      <w:r>
        <w:rPr>
          <w:rFonts w:hint="eastAsia" w:ascii="微软雅黑" w:hAnsi="微软雅黑" w:eastAsia="微软雅黑" w:cs="微软雅黑"/>
          <w:spacing w:val="20"/>
          <w:kern w:val="0"/>
          <w:sz w:val="28"/>
          <w:szCs w:val="28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spacing w:val="20"/>
          <w:kern w:val="0"/>
          <w:sz w:val="28"/>
          <w:szCs w:val="28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4733925" cy="6562725"/>
            <wp:effectExtent l="0" t="0" r="3175" b="317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0"/>
          <w:sz w:val="28"/>
          <w:szCs w:val="28"/>
          <w:bdr w:val="none" w:color="auto" w:sz="0" w:space="0"/>
          <w:lang w:val="en-US" w:eastAsia="zh-CN" w:bidi="ar"/>
        </w:rPr>
        <w:drawing>
          <wp:inline distT="0" distB="0" distL="114300" distR="114300">
            <wp:extent cx="4476750" cy="6553200"/>
            <wp:effectExtent l="0" t="0" r="6350" b="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0"/>
          <w:sz w:val="28"/>
          <w:szCs w:val="28"/>
          <w:bdr w:val="none" w:color="auto" w:sz="0" w:space="0"/>
          <w:lang w:val="en-US" w:eastAsia="zh-CN" w:bidi="ar"/>
        </w:rPr>
        <w:drawing>
          <wp:inline distT="0" distB="0" distL="114300" distR="114300">
            <wp:extent cx="4505325" cy="6448425"/>
            <wp:effectExtent l="0" t="0" r="3175" b="3175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0"/>
          <w:sz w:val="28"/>
          <w:szCs w:val="28"/>
          <w:bdr w:val="none" w:color="auto" w:sz="0" w:space="0"/>
          <w:lang w:val="en-US" w:eastAsia="zh-CN" w:bidi="ar"/>
        </w:rPr>
        <w:drawing>
          <wp:inline distT="0" distB="0" distL="114300" distR="114300">
            <wp:extent cx="4429125" cy="6400800"/>
            <wp:effectExtent l="0" t="0" r="3175" b="0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0"/>
          <w:sz w:val="28"/>
          <w:szCs w:val="28"/>
          <w:bdr w:val="none" w:color="auto" w:sz="0" w:space="0"/>
          <w:lang w:val="en-US" w:eastAsia="zh-CN" w:bidi="ar"/>
        </w:rPr>
        <w:drawing>
          <wp:inline distT="0" distB="0" distL="114300" distR="114300">
            <wp:extent cx="4371975" cy="6343650"/>
            <wp:effectExtent l="0" t="0" r="9525" b="635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0"/>
          <w:sz w:val="28"/>
          <w:szCs w:val="28"/>
          <w:bdr w:val="none" w:color="auto" w:sz="0" w:space="0"/>
          <w:lang w:val="en-US" w:eastAsia="zh-CN" w:bidi="ar"/>
        </w:rPr>
        <w:drawing>
          <wp:inline distT="0" distB="0" distL="114300" distR="114300">
            <wp:extent cx="4467225" cy="6448425"/>
            <wp:effectExtent l="0" t="0" r="3175" b="317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0"/>
          <w:sz w:val="28"/>
          <w:szCs w:val="28"/>
          <w:bdr w:val="none" w:color="auto" w:sz="0" w:space="0"/>
          <w:lang w:val="en-US" w:eastAsia="zh-CN" w:bidi="ar"/>
        </w:rPr>
        <w:drawing>
          <wp:inline distT="0" distB="0" distL="114300" distR="114300">
            <wp:extent cx="4371975" cy="6410325"/>
            <wp:effectExtent l="0" t="0" r="9525" b="317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0"/>
          <w:sz w:val="28"/>
          <w:szCs w:val="28"/>
          <w:bdr w:val="none" w:color="auto" w:sz="0" w:space="0"/>
          <w:lang w:val="en-US" w:eastAsia="zh-CN" w:bidi="ar"/>
        </w:rPr>
        <w:drawing>
          <wp:inline distT="0" distB="0" distL="114300" distR="114300">
            <wp:extent cx="4362450" cy="6353175"/>
            <wp:effectExtent l="0" t="0" r="6350" b="9525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0"/>
          <w:sz w:val="28"/>
          <w:szCs w:val="28"/>
          <w:bdr w:val="none" w:color="auto" w:sz="0" w:space="0"/>
          <w:lang w:val="en-US" w:eastAsia="zh-CN" w:bidi="ar"/>
        </w:rPr>
        <w:drawing>
          <wp:inline distT="0" distB="0" distL="114300" distR="114300">
            <wp:extent cx="4486275" cy="6457950"/>
            <wp:effectExtent l="0" t="0" r="9525" b="6350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4486275" cy="2486025"/>
            <wp:effectExtent l="0" t="0" r="9525" b="3175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E3E3E"/>
          <w:spacing w:val="5"/>
          <w:sz w:val="28"/>
          <w:szCs w:val="2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99999"/>
          <w:spacing w:val="10"/>
          <w:sz w:val="28"/>
          <w:szCs w:val="28"/>
          <w:bdr w:val="none" w:color="auto" w:sz="0" w:space="0"/>
          <w:shd w:val="clear" w:fill="FFFFFF"/>
        </w:rPr>
        <w:t>撰文 |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99999"/>
          <w:spacing w:val="6"/>
          <w:sz w:val="28"/>
          <w:szCs w:val="28"/>
          <w:bdr w:val="none" w:color="auto" w:sz="0" w:space="0"/>
          <w:shd w:val="clear" w:fill="FFFFFF"/>
        </w:rPr>
        <w:t> 洪叶 许海燕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999999"/>
          <w:spacing w:val="10"/>
          <w:kern w:val="0"/>
          <w:sz w:val="28"/>
          <w:szCs w:val="28"/>
          <w:bdr w:val="none" w:color="auto" w:sz="0" w:space="0"/>
          <w:lang w:val="en-US" w:eastAsia="zh-CN" w:bidi="ar"/>
        </w:rPr>
        <w:t>编辑 | 王建朋出品 | 新华日报全媒体经济新闻部声明 | 新华日报全媒体经济新闻部制作，转载请注明出处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Franklin Gothic Demi">
    <w:panose1 w:val="020B0703020102020204"/>
    <w:charset w:val="00"/>
    <w:family w:val="auto"/>
    <w:pitch w:val="default"/>
    <w:sig w:usb0="00000287" w:usb1="00000000" w:usb2="00000000" w:usb3="00000000" w:csb0="2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lkYjA3ZGNmNmFhOWE1NmVjN2I4YTAwZjhhZTc1YzAifQ=="/>
  </w:docVars>
  <w:rsids>
    <w:rsidRoot w:val="00000000"/>
    <w:rsid w:val="14455755"/>
    <w:rsid w:val="55292588"/>
    <w:rsid w:val="75E1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2023-11-15T11:09:32Z</dcterms:created>
  <dc:creator>Administrator</dc:creator>
  <cp:lastModifiedBy>曹争鸣</cp:lastModifiedBy>
  <dcterms:modified xsi:type="dcterms:W3CDTF">2023-11-15T11:11:10Z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86422979AA2C45FBA2252A85326EE9FF_12</vt:lpwstr>
  </property>
</Properties>
</file>