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重磅！</w:t>
      </w: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钟楼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高新园科技人才政策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上线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邹区印象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2024-02-01 17:26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发表于江苏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drawing>
          <wp:inline distT="0" distB="0" distL="114300" distR="114300">
            <wp:extent cx="3991610" cy="1332230"/>
            <wp:effectExtent l="0" t="0" r="889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3801110" cy="8755380"/>
            <wp:effectExtent l="0" t="0" r="8890" b="762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875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3855720" cy="8883650"/>
            <wp:effectExtent l="0" t="0" r="11430" b="1270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888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5308600" cy="7134860"/>
            <wp:effectExtent l="0" t="0" r="6350" b="889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13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EyM2RlYjAxYzEwODM3NTdiZjA4MjUzZjcyOTIifQ=="/>
  </w:docVars>
  <w:rsids>
    <w:rsidRoot w:val="00000000"/>
    <w:rsid w:val="08C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2024-02-02T03:06:16Z</dcterms:created>
  <dc:creator>DELL</dc:creator>
  <cp:lastModifiedBy>曹争鸣</cp:lastModifiedBy>
  <dcterms:modified xsi:type="dcterms:W3CDTF">2024-02-02T03:08:22Z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AAAE7CBC4145494C9B67B7D4D9FF1DDE_12</vt:lpwstr>
  </property>
</Properties>
</file>