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DDE7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微软雅黑" w:hAnsi="微软雅黑" w:eastAsia="微软雅黑" w:cs="微软雅黑"/>
          <w:b/>
          <w:bCs/>
          <w:caps w:val="0"/>
          <w:color w:val="FF0000"/>
          <w:kern w:val="0"/>
          <w:sz w:val="28"/>
          <w:szCs w:val="28"/>
          <w:lang w:val="en-US" w:eastAsia="zh-CN" w:bidi="ar"/>
        </w:rPr>
      </w:pPr>
      <w:bookmarkStart w:id="0" w:name="_GoBack"/>
      <w:r>
        <w:rPr>
          <w:rFonts w:hint="eastAsia" w:ascii="微软雅黑" w:hAnsi="微软雅黑" w:eastAsia="微软雅黑" w:cs="微软雅黑"/>
          <w:b/>
          <w:bCs/>
          <w:caps w:val="0"/>
          <w:color w:val="FF0000"/>
          <w:kern w:val="0"/>
          <w:sz w:val="28"/>
          <w:szCs w:val="28"/>
          <w:lang w:val="en-US" w:eastAsia="zh-CN" w:bidi="ar"/>
        </w:rPr>
        <w:t>一文读懂国务院国资委旗下全部事业单位</w:t>
      </w:r>
    </w:p>
    <w:bookmarkEnd w:id="0"/>
    <w:p w14:paraId="45AEADC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center"/>
        <w:rPr>
          <w:rFonts w:hint="eastAsia" w:ascii="微软雅黑" w:hAnsi="微软雅黑" w:eastAsia="微软雅黑" w:cs="微软雅黑"/>
          <w:b/>
          <w:bCs/>
          <w:caps w:val="0"/>
          <w:color w:val="auto"/>
          <w:kern w:val="0"/>
          <w:sz w:val="21"/>
          <w:szCs w:val="21"/>
          <w:lang w:val="en-US" w:eastAsia="zh-CN" w:bidi="ar"/>
        </w:rPr>
      </w:pPr>
      <w:r>
        <w:rPr>
          <w:rFonts w:hint="eastAsia" w:ascii="微软雅黑" w:hAnsi="微软雅黑" w:eastAsia="微软雅黑" w:cs="微软雅黑"/>
          <w:b/>
          <w:bCs/>
          <w:caps w:val="0"/>
          <w:color w:val="auto"/>
          <w:kern w:val="0"/>
          <w:sz w:val="21"/>
          <w:szCs w:val="21"/>
          <w:lang w:val="en-US" w:eastAsia="zh-CN" w:bidi="ar"/>
        </w:rPr>
        <w:t>原创 新流财资  2025年08月19日 17:22 上海 标题已修改</w:t>
      </w:r>
    </w:p>
    <w:p w14:paraId="1D9CFAA1">
      <w:pPr>
        <w:pStyle w:val="3"/>
        <w:keepNext w:val="0"/>
        <w:keepLines w:val="0"/>
        <w:widowControl/>
        <w:suppressLineNumbers w:val="0"/>
        <w:rPr>
          <w:rFonts w:hint="eastAsia" w:ascii="微软雅黑" w:hAnsi="微软雅黑" w:eastAsia="微软雅黑" w:cs="微软雅黑"/>
          <w:b/>
          <w:bCs/>
          <w:caps w:val="0"/>
          <w:color w:val="FF0000"/>
          <w:kern w:val="0"/>
          <w:sz w:val="28"/>
          <w:szCs w:val="28"/>
          <w:lang w:val="en-US" w:eastAsia="zh-CN" w:bidi="ar"/>
        </w:rPr>
      </w:pPr>
    </w:p>
    <w:p w14:paraId="4CA113F5">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color w:val="FF0000"/>
          <w:sz w:val="28"/>
          <w:szCs w:val="28"/>
        </w:rPr>
        <w:t>一、了解委属事业单位的管理结构</w:t>
      </w:r>
    </w:p>
    <w:p w14:paraId="5075A29E">
      <w:pPr>
        <w:pStyle w:val="3"/>
        <w:keepNext w:val="0"/>
        <w:keepLines w:val="0"/>
        <w:widowControl/>
        <w:suppressLineNumbers w:val="0"/>
        <w:rPr>
          <w:rFonts w:hint="eastAsia" w:ascii="微软雅黑" w:hAnsi="微软雅黑" w:eastAsia="微软雅黑" w:cs="微软雅黑"/>
          <w:b/>
          <w:bCs/>
          <w:color w:val="FF0000"/>
          <w:sz w:val="28"/>
          <w:szCs w:val="28"/>
        </w:rPr>
      </w:pPr>
      <w:r>
        <w:rPr>
          <w:rFonts w:hint="eastAsia" w:ascii="微软雅黑" w:hAnsi="微软雅黑" w:eastAsia="微软雅黑" w:cs="微软雅黑"/>
          <w:b w:val="0"/>
          <w:bCs w:val="0"/>
          <w:caps w:val="0"/>
          <w:color w:val="auto"/>
          <w:sz w:val="28"/>
          <w:szCs w:val="28"/>
        </w:rPr>
        <w:t>国务院国资委的事业单位管理结构分成三个大类：</w:t>
      </w:r>
      <w:r>
        <w:rPr>
          <w:rFonts w:hint="eastAsia" w:ascii="微软雅黑" w:hAnsi="微软雅黑" w:eastAsia="微软雅黑" w:cs="微软雅黑"/>
          <w:caps w:val="0"/>
          <w:sz w:val="28"/>
          <w:szCs w:val="28"/>
        </w:rPr>
        <w:drawing>
          <wp:inline distT="0" distB="0" distL="114300" distR="114300">
            <wp:extent cx="5271135" cy="3081655"/>
            <wp:effectExtent l="0" t="0" r="1905" b="1206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5271135" cy="3081655"/>
                    </a:xfrm>
                    <a:prstGeom prst="rect">
                      <a:avLst/>
                    </a:prstGeom>
                    <a:noFill/>
                    <a:ln w="9525">
                      <a:noFill/>
                    </a:ln>
                  </pic:spPr>
                </pic:pic>
              </a:graphicData>
            </a:graphic>
          </wp:inline>
        </w:drawing>
      </w:r>
    </w:p>
    <w:p w14:paraId="3EFF8D30">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1、国资委直管的事业单位</w:t>
      </w:r>
      <w:r>
        <w:rPr>
          <w:rFonts w:hint="eastAsia" w:ascii="微软雅黑" w:hAnsi="微软雅黑" w:eastAsia="微软雅黑" w:cs="微软雅黑"/>
          <w:caps w:val="0"/>
          <w:sz w:val="28"/>
          <w:szCs w:val="28"/>
        </w:rPr>
        <w:t>，有6家；</w:t>
      </w:r>
    </w:p>
    <w:p w14:paraId="642BED3F">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2、国资委内设机构，机关服务管理局（离退休干部管理局）管理的事业单位以及这些事业单位下属的事业单位。</w:t>
      </w:r>
    </w:p>
    <w:p w14:paraId="3BA4974B">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这类事业单位都为后勤服务性质，这些事业单位中的很大一部分根据党中央关于培养和疗养机构改革的决定，已经、正在或者将要转成企业（康养类）；</w:t>
      </w:r>
    </w:p>
    <w:p w14:paraId="1A006096">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3、国资委举办，但是交由各行业协会“代管”的事业单位。</w:t>
      </w:r>
    </w:p>
    <w:p w14:paraId="44B51FDC">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这些事业单位普遍服务于行业，业务领域为咨询、信息服务、行业标准制定、资质认证、会展、传媒、人力资源等轻资产业务；个别事业单位为研究所、工程设计、地质勘测等重技术行业。</w:t>
      </w:r>
    </w:p>
    <w:p w14:paraId="08330E92">
      <w:pPr>
        <w:pStyle w:val="3"/>
        <w:keepNext w:val="0"/>
        <w:keepLines w:val="0"/>
        <w:widowControl/>
        <w:suppressLineNumbers w:val="0"/>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aps w:val="0"/>
          <w:color w:val="FF0000"/>
          <w:sz w:val="28"/>
          <w:szCs w:val="28"/>
        </w:rPr>
        <w:t>二、交由各行业协会“代管”的事业单位</w:t>
      </w:r>
    </w:p>
    <w:p w14:paraId="1DBA9FED">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虽然国务院国资委下的事业单位在登记的时候，“举办单位”一栏统一“国务院国有资产监督管理委员会”，并且法定主管部门也是国务院国资委。但实际操作中，绝大多数的事业单位都不是国务院国资委直接管辖的，普遍是交由其他机构代管“代管”的。所以我们在国务院国资委的官网中会看到这样的回答：</w:t>
      </w:r>
    </w:p>
    <w:p w14:paraId="13F988C3">
      <w:pPr>
        <w:pStyle w:val="3"/>
        <w:keepNext w:val="0"/>
        <w:keepLines w:val="0"/>
        <w:widowControl/>
        <w:suppressLineNumbers w:val="0"/>
        <w:spacing w:after="0" w:afterAutospacing="0"/>
        <w:jc w:val="center"/>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drawing>
          <wp:inline distT="0" distB="0" distL="114300" distR="114300">
            <wp:extent cx="5269230" cy="3980180"/>
            <wp:effectExtent l="0" t="0" r="3810" b="12700"/>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5"/>
                    <a:stretch>
                      <a:fillRect/>
                    </a:stretch>
                  </pic:blipFill>
                  <pic:spPr>
                    <a:xfrm>
                      <a:off x="0" y="0"/>
                      <a:ext cx="5269230" cy="3980180"/>
                    </a:xfrm>
                    <a:prstGeom prst="rect">
                      <a:avLst/>
                    </a:prstGeom>
                    <a:noFill/>
                    <a:ln w="9525">
                      <a:noFill/>
                    </a:ln>
                  </pic:spPr>
                </pic:pic>
              </a:graphicData>
            </a:graphic>
          </wp:inline>
        </w:drawing>
      </w:r>
    </w:p>
    <w:p w14:paraId="4C8BA634">
      <w:pPr>
        <w:pStyle w:val="3"/>
        <w:keepNext w:val="0"/>
        <w:keepLines w:val="0"/>
        <w:widowControl/>
        <w:suppressLineNumbers w:val="0"/>
        <w:jc w:val="center"/>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drawing>
          <wp:inline distT="0" distB="0" distL="114300" distR="114300">
            <wp:extent cx="5268595" cy="3947160"/>
            <wp:effectExtent l="0" t="0" r="4445" b="0"/>
            <wp:docPr id="1"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8"/>
                    <pic:cNvPicPr>
                      <a:picLocks noChangeAspect="1"/>
                    </pic:cNvPicPr>
                  </pic:nvPicPr>
                  <pic:blipFill>
                    <a:blip r:embed="rId6"/>
                    <a:stretch>
                      <a:fillRect/>
                    </a:stretch>
                  </pic:blipFill>
                  <pic:spPr>
                    <a:xfrm>
                      <a:off x="0" y="0"/>
                      <a:ext cx="5268595" cy="3947160"/>
                    </a:xfrm>
                    <a:prstGeom prst="rect">
                      <a:avLst/>
                    </a:prstGeom>
                    <a:noFill/>
                    <a:ln w="9525">
                      <a:noFill/>
                    </a:ln>
                  </pic:spPr>
                </pic:pic>
              </a:graphicData>
            </a:graphic>
          </wp:inline>
        </w:drawing>
      </w:r>
    </w:p>
    <w:p w14:paraId="6A75F45B">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（1）“代管”是什么意思呢？</w:t>
      </w:r>
    </w:p>
    <w:p w14:paraId="45B6A88F">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“代管”是国有资产管理体制改革中的一种常见模式，旨在实现“政事分开、管办分离”。代管关系并非全面接管，而是聚焦于特定职能的委托。</w:t>
      </w:r>
      <w:r>
        <w:rPr>
          <w:rFonts w:hint="eastAsia" w:ascii="微软雅黑" w:hAnsi="微软雅黑" w:eastAsia="微软雅黑" w:cs="微软雅黑"/>
          <w:b/>
          <w:bCs/>
          <w:caps w:val="0"/>
          <w:sz w:val="28"/>
          <w:szCs w:val="28"/>
        </w:rPr>
        <w:t>是国资委将执行性、事务性职能（人事、财务、业务协同）下放，但保留核心管控权（资产、编制、战略）。</w:t>
      </w:r>
    </w:p>
    <w:p w14:paraId="27FFBCC3">
      <w:pPr>
        <w:pStyle w:val="3"/>
        <w:keepNext w:val="0"/>
        <w:keepLines w:val="0"/>
        <w:widowControl/>
        <w:suppressLineNumbers w:val="0"/>
        <w:ind w:left="0" w:firstLine="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（2）“代管”的行业协会跟国资委是什么关系？</w:t>
      </w:r>
    </w:p>
    <w:p w14:paraId="04A2BBBB">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国务院国资委举办的这些事业单位通常会指定给交由行业协会代管，</w:t>
      </w:r>
      <w:r>
        <w:rPr>
          <w:rFonts w:hint="eastAsia" w:ascii="微软雅黑" w:hAnsi="微软雅黑" w:eastAsia="微软雅黑" w:cs="微软雅黑"/>
          <w:b/>
          <w:bCs/>
          <w:caps w:val="0"/>
          <w:sz w:val="28"/>
          <w:szCs w:val="28"/>
        </w:rPr>
        <w:t>这些行业协会中的大部分曾经是国资委直管的，后经脱钩改革，绝大部分独立出去了</w:t>
      </w:r>
      <w:r>
        <w:rPr>
          <w:rFonts w:hint="eastAsia" w:ascii="微软雅黑" w:hAnsi="微软雅黑" w:eastAsia="微软雅黑" w:cs="微软雅黑"/>
          <w:caps w:val="0"/>
          <w:sz w:val="28"/>
          <w:szCs w:val="28"/>
        </w:rPr>
        <w:t>。</w:t>
      </w:r>
    </w:p>
    <w:p w14:paraId="18E79F4C">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2</w:t>
      </w:r>
      <w:r>
        <w:rPr>
          <w:rFonts w:hint="eastAsia" w:ascii="微软雅黑" w:hAnsi="微软雅黑" w:eastAsia="微软雅黑" w:cs="微软雅黑"/>
          <w:caps w:val="0"/>
          <w:color w:val="021EAA"/>
          <w:sz w:val="28"/>
          <w:szCs w:val="28"/>
        </w:rPr>
        <w:t>023年的时候，国务院国资委在官网回答的时候称当时仅有中国企业联合会1家未改制，由国资委直管。不过，从国资最新的报告看，中国石油和化学工业联合会可能也还在其直管范围内。</w:t>
      </w:r>
    </w:p>
    <w:p w14:paraId="5F51E9A1">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除开这两家，国资委曾经直管过现在已经脱钩的协会有13个，分别是：</w:t>
      </w:r>
    </w:p>
    <w:p w14:paraId="290A339A">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中国工业经济联合会、中国质量协会、中国商业联合会、中国物流与采购联合会、中国煤炭工业协会、中国机械工业联合会、中国钢铁工业协会、中国轻工业联合会、中国纺织工业联合会、中国建筑材料联合会、中国有色金属工业协会、中国企业国有产权交易机构协会、中国电力企业联合会。</w:t>
      </w:r>
    </w:p>
    <w:p w14:paraId="69889158">
      <w:pPr>
        <w:pStyle w:val="3"/>
        <w:keepNext w:val="0"/>
        <w:keepLines w:val="0"/>
        <w:widowControl/>
        <w:suppressLineNumbers w:val="0"/>
        <w:jc w:val="center"/>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drawing>
          <wp:inline distT="0" distB="0" distL="114300" distR="114300">
            <wp:extent cx="5270500" cy="4149090"/>
            <wp:effectExtent l="0" t="0" r="2540" b="1143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7"/>
                    <a:stretch>
                      <a:fillRect/>
                    </a:stretch>
                  </pic:blipFill>
                  <pic:spPr>
                    <a:xfrm>
                      <a:off x="0" y="0"/>
                      <a:ext cx="5270500" cy="4149090"/>
                    </a:xfrm>
                    <a:prstGeom prst="rect">
                      <a:avLst/>
                    </a:prstGeom>
                    <a:noFill/>
                    <a:ln w="9525">
                      <a:noFill/>
                    </a:ln>
                  </pic:spPr>
                </pic:pic>
              </a:graphicData>
            </a:graphic>
          </wp:inline>
        </w:drawing>
      </w:r>
    </w:p>
    <w:p w14:paraId="65A370C6">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不过，并不是这15家行业协会都代管了事业单位，根据中央编办的名单看，</w:t>
      </w:r>
      <w:r>
        <w:rPr>
          <w:rFonts w:hint="eastAsia" w:ascii="微软雅黑" w:hAnsi="微软雅黑" w:eastAsia="微软雅黑" w:cs="微软雅黑"/>
          <w:caps w:val="0"/>
          <w:color w:val="021EAA"/>
          <w:sz w:val="28"/>
          <w:szCs w:val="28"/>
        </w:rPr>
        <w:t>目前存续的事业单位被以下7家行业协会代管</w:t>
      </w:r>
      <w:r>
        <w:rPr>
          <w:rFonts w:hint="eastAsia" w:ascii="微软雅黑" w:hAnsi="微软雅黑" w:eastAsia="微软雅黑" w:cs="微软雅黑"/>
          <w:caps w:val="0"/>
          <w:sz w:val="28"/>
          <w:szCs w:val="28"/>
        </w:rPr>
        <w:t>：</w:t>
      </w:r>
    </w:p>
    <w:p w14:paraId="00D995A6">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中国纺织工业联合会、中国机械工业联合会、中国建筑材料联合会、中国轻工业联合会、中国商业联合会、中国石油和化学工业联合会、中国物流与采购联合会7家有代管事业单位。 </w:t>
      </w:r>
    </w:p>
    <w:p w14:paraId="78C4E1BB">
      <w:pPr>
        <w:pStyle w:val="3"/>
        <w:keepNext w:val="0"/>
        <w:keepLines w:val="0"/>
        <w:widowControl/>
        <w:suppressLineNumbers w:val="0"/>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aps w:val="0"/>
          <w:color w:val="FF0000"/>
          <w:sz w:val="28"/>
          <w:szCs w:val="28"/>
        </w:rPr>
        <w:t>三、国务院国资委下事业单位的详情</w:t>
      </w:r>
    </w:p>
    <w:p w14:paraId="2C59DFA8">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2020年06月05日在官网上公布了当时全量委属事业单位的明细，总共124家。</w:t>
      </w:r>
      <w:r>
        <w:rPr>
          <w:rFonts w:hint="eastAsia" w:ascii="微软雅黑" w:hAnsi="微软雅黑" w:eastAsia="微软雅黑" w:cs="微软雅黑"/>
          <w:caps w:val="0"/>
          <w:sz w:val="28"/>
          <w:szCs w:val="28"/>
        </w:rPr>
        <w:t>（公告链接：http://www.sasac.gov.cn/n4422011/n15518121/c15518146/content.html）</w:t>
      </w:r>
    </w:p>
    <w:p w14:paraId="3AC30F20">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但在过去的5年间</w:t>
      </w:r>
      <w:r>
        <w:rPr>
          <w:rFonts w:hint="eastAsia" w:ascii="微软雅黑" w:hAnsi="微软雅黑" w:eastAsia="微软雅黑" w:cs="微软雅黑"/>
          <w:b/>
          <w:bCs/>
          <w:caps w:val="0"/>
          <w:sz w:val="28"/>
          <w:szCs w:val="28"/>
        </w:rPr>
        <w:t>有两件关系到事业单位命运的事一直在推进：</w:t>
      </w:r>
    </w:p>
    <w:p w14:paraId="49A1318B">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1、</w:t>
      </w:r>
      <w:r>
        <w:rPr>
          <w:rFonts w:hint="eastAsia" w:ascii="微软雅黑" w:hAnsi="微软雅黑" w:eastAsia="微软雅黑" w:cs="微软雅黑"/>
          <w:b/>
          <w:bCs/>
          <w:caps w:val="0"/>
          <w:sz w:val="28"/>
          <w:szCs w:val="28"/>
        </w:rPr>
        <w:t>文化类国央企改革</w:t>
      </w:r>
      <w:r>
        <w:rPr>
          <w:rFonts w:hint="eastAsia" w:ascii="微软雅黑" w:hAnsi="微软雅黑" w:eastAsia="微软雅黑" w:cs="微软雅黑"/>
          <w:caps w:val="0"/>
          <w:sz w:val="28"/>
          <w:szCs w:val="28"/>
        </w:rPr>
        <w:t>一直在推进，曾经性质为事业单位的出版社、报社已经或正在改制成企业；</w:t>
      </w:r>
    </w:p>
    <w:p w14:paraId="01187485">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2、2016年8月，党中央与国务院印发《</w:t>
      </w:r>
      <w:r>
        <w:rPr>
          <w:rFonts w:hint="eastAsia" w:ascii="微软雅黑" w:hAnsi="微软雅黑" w:eastAsia="微软雅黑" w:cs="微软雅黑"/>
          <w:b/>
          <w:bCs/>
          <w:caps w:val="0"/>
          <w:sz w:val="28"/>
          <w:szCs w:val="28"/>
        </w:rPr>
        <w:t>关于党政机关和国有企事业单位培训疗养机构改革的指导意见</w:t>
      </w:r>
      <w:r>
        <w:rPr>
          <w:rFonts w:hint="eastAsia" w:ascii="微软雅黑" w:hAnsi="微软雅黑" w:eastAsia="微软雅黑" w:cs="微软雅黑"/>
          <w:caps w:val="0"/>
          <w:sz w:val="28"/>
          <w:szCs w:val="28"/>
        </w:rPr>
        <w:t>》，按照这一政策的精神，过去5年，所有性质为事业单位的培训疗养机构已经或者正在转成企业。</w:t>
      </w:r>
    </w:p>
    <w:p w14:paraId="54D19E65">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所以到今天，</w:t>
      </w:r>
      <w:r>
        <w:rPr>
          <w:rFonts w:hint="eastAsia" w:ascii="微软雅黑" w:hAnsi="微软雅黑" w:eastAsia="微软雅黑" w:cs="微软雅黑"/>
          <w:b/>
          <w:bCs/>
          <w:caps w:val="0"/>
          <w:color w:val="021EAA"/>
          <w:sz w:val="28"/>
          <w:szCs w:val="28"/>
        </w:rPr>
        <w:t>国务院国资委旗下的事业单位正常存续的已经没有124家了</w:t>
      </w:r>
      <w:r>
        <w:rPr>
          <w:rFonts w:hint="eastAsia" w:ascii="微软雅黑" w:hAnsi="微软雅黑" w:eastAsia="微软雅黑" w:cs="微软雅黑"/>
          <w:b/>
          <w:bCs/>
          <w:caps w:val="0"/>
          <w:sz w:val="28"/>
          <w:szCs w:val="28"/>
        </w:rPr>
        <w:t>，公告里的124家事业单位现在的状况分别是：</w:t>
      </w:r>
    </w:p>
    <w:p w14:paraId="32C1050F">
      <w:pPr>
        <w:pStyle w:val="3"/>
        <w:keepNext w:val="0"/>
        <w:keepLines w:val="0"/>
        <w:widowControl/>
        <w:suppressLineNumbers w:val="0"/>
        <w:spacing w:after="192" w:afterAutospacing="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（一）15家已经注销、证书废纸或者停业的事业单位</w:t>
      </w:r>
    </w:p>
    <w:p w14:paraId="7541FD12">
      <w:pPr>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6"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0"/>
                    <pic:cNvPicPr>
                      <a:picLocks noChangeAspect="1"/>
                    </pic:cNvPicPr>
                  </pic:nvPicPr>
                  <pic:blipFill>
                    <a:blip r:embed="rId8"/>
                    <a:stretch>
                      <a:fillRect/>
                    </a:stretch>
                  </pic:blipFill>
                  <pic:spPr>
                    <a:xfrm>
                      <a:off x="0" y="0"/>
                      <a:ext cx="5266690" cy="3950335"/>
                    </a:xfrm>
                    <a:prstGeom prst="rect">
                      <a:avLst/>
                    </a:prstGeom>
                    <a:noFill/>
                    <a:ln w="9525">
                      <a:noFill/>
                    </a:ln>
                  </pic:spPr>
                </pic:pic>
              </a:graphicData>
            </a:graphic>
          </wp:inline>
        </w:drawing>
      </w:r>
    </w:p>
    <w:p w14:paraId="53ADDCBD">
      <w:pPr>
        <w:pStyle w:val="3"/>
        <w:keepNext w:val="0"/>
        <w:keepLines w:val="0"/>
        <w:widowControl/>
        <w:suppressLineNumbers w:val="0"/>
        <w:jc w:val="left"/>
        <w:rPr>
          <w:rFonts w:hint="eastAsia" w:ascii="微软雅黑" w:hAnsi="微软雅黑" w:eastAsia="微软雅黑" w:cs="微软雅黑"/>
          <w:sz w:val="28"/>
          <w:szCs w:val="28"/>
        </w:rPr>
      </w:pPr>
    </w:p>
    <w:p w14:paraId="56250A3D">
      <w:pPr>
        <w:pStyle w:val="3"/>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b/>
          <w:bCs/>
          <w:caps w:val="0"/>
          <w:color w:val="021EAA"/>
          <w:sz w:val="28"/>
          <w:szCs w:val="28"/>
        </w:rPr>
        <w:t>除了这15家外的剩余109家事业单位目前仍正常存续，他们的目前的状况请见下方明细</w:t>
      </w:r>
      <w:r>
        <w:rPr>
          <w:rFonts w:hint="eastAsia" w:ascii="微软雅黑" w:hAnsi="微软雅黑" w:eastAsia="微软雅黑" w:cs="微软雅黑"/>
          <w:b w:val="0"/>
          <w:bCs w:val="0"/>
          <w:caps w:val="0"/>
          <w:color w:val="021EAA"/>
          <w:sz w:val="28"/>
          <w:szCs w:val="28"/>
        </w:rPr>
        <w:t>（</w:t>
      </w:r>
      <w:r>
        <w:rPr>
          <w:rFonts w:hint="eastAsia" w:ascii="微软雅黑" w:hAnsi="微软雅黑" w:eastAsia="微软雅黑" w:cs="微软雅黑"/>
          <w:b w:val="0"/>
          <w:bCs w:val="0"/>
          <w:caps w:val="0"/>
          <w:sz w:val="28"/>
          <w:szCs w:val="28"/>
        </w:rPr>
        <w:t>注：以下从业人员、净资产数据均采集自各事业单位2024年年报，净资产单位为“万元”。</w:t>
      </w:r>
      <w:r>
        <w:rPr>
          <w:rFonts w:hint="eastAsia" w:ascii="微软雅黑" w:hAnsi="微软雅黑" w:eastAsia="微软雅黑" w:cs="微软雅黑"/>
          <w:b w:val="0"/>
          <w:bCs w:val="0"/>
          <w:caps w:val="0"/>
          <w:color w:val="021EAA"/>
          <w:sz w:val="28"/>
          <w:szCs w:val="28"/>
        </w:rPr>
        <w:t>）</w:t>
      </w:r>
      <w:r>
        <w:rPr>
          <w:rFonts w:hint="eastAsia" w:ascii="微软雅黑" w:hAnsi="微软雅黑" w:eastAsia="微软雅黑" w:cs="微软雅黑"/>
          <w:b/>
          <w:bCs/>
          <w:caps w:val="0"/>
          <w:color w:val="021EAA"/>
          <w:sz w:val="28"/>
          <w:szCs w:val="28"/>
        </w:rPr>
        <w:t>：</w:t>
      </w:r>
    </w:p>
    <w:p w14:paraId="06077A60">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（二）国务院国资委直属的事业单位6家</w:t>
      </w:r>
    </w:p>
    <w:p w14:paraId="61AFD9F3">
      <w:pPr>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4"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1"/>
                    <pic:cNvPicPr>
                      <a:picLocks noChangeAspect="1"/>
                    </pic:cNvPicPr>
                  </pic:nvPicPr>
                  <pic:blipFill>
                    <a:blip r:embed="rId9"/>
                    <a:stretch>
                      <a:fillRect/>
                    </a:stretch>
                  </pic:blipFill>
                  <pic:spPr>
                    <a:xfrm>
                      <a:off x="0" y="0"/>
                      <a:ext cx="5266690" cy="3950335"/>
                    </a:xfrm>
                    <a:prstGeom prst="rect">
                      <a:avLst/>
                    </a:prstGeom>
                    <a:noFill/>
                    <a:ln w="9525">
                      <a:noFill/>
                    </a:ln>
                  </pic:spPr>
                </pic:pic>
              </a:graphicData>
            </a:graphic>
          </wp:inline>
        </w:drawing>
      </w:r>
    </w:p>
    <w:p w14:paraId="678ADCC2">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（三）国资委机关服务管理局（离退休干部管理局）下的机关服务中心10家</w:t>
      </w:r>
    </w:p>
    <w:p w14:paraId="55663E1B">
      <w:pPr>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10"/>
                    <a:stretch>
                      <a:fillRect/>
                    </a:stretch>
                  </pic:blipFill>
                  <pic:spPr>
                    <a:xfrm>
                      <a:off x="0" y="0"/>
                      <a:ext cx="5266690" cy="3950335"/>
                    </a:xfrm>
                    <a:prstGeom prst="rect">
                      <a:avLst/>
                    </a:prstGeom>
                    <a:noFill/>
                    <a:ln w="9525">
                      <a:noFill/>
                    </a:ln>
                  </pic:spPr>
                </pic:pic>
              </a:graphicData>
            </a:graphic>
          </wp:inline>
        </w:drawing>
      </w:r>
    </w:p>
    <w:p w14:paraId="0705D4E8">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（四）各机关服务中心下的三级事业单位18家</w:t>
      </w:r>
    </w:p>
    <w:p w14:paraId="290754AE">
      <w:pPr>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9"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3"/>
                    <pic:cNvPicPr>
                      <a:picLocks noChangeAspect="1"/>
                    </pic:cNvPicPr>
                  </pic:nvPicPr>
                  <pic:blipFill>
                    <a:blip r:embed="rId11"/>
                    <a:stretch>
                      <a:fillRect/>
                    </a:stretch>
                  </pic:blipFill>
                  <pic:spPr>
                    <a:xfrm>
                      <a:off x="0" y="0"/>
                      <a:ext cx="5266690" cy="3950335"/>
                    </a:xfrm>
                    <a:prstGeom prst="rect">
                      <a:avLst/>
                    </a:prstGeom>
                    <a:noFill/>
                    <a:ln w="9525">
                      <a:noFill/>
                    </a:ln>
                  </pic:spPr>
                </pic:pic>
              </a:graphicData>
            </a:graphic>
          </wp:inline>
        </w:drawing>
      </w:r>
    </w:p>
    <w:p w14:paraId="43EA8BCD">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aps w:val="0"/>
          <w:color w:val="021EAA"/>
          <w:sz w:val="28"/>
          <w:szCs w:val="28"/>
        </w:rPr>
        <w:t>这些事业单位绝大部分正在转企，绝大部分交割给中国康养集团，少量转给国药集团旗下的康养模块，</w:t>
      </w:r>
      <w:r>
        <w:rPr>
          <w:rFonts w:hint="eastAsia" w:ascii="微软雅黑" w:hAnsi="微软雅黑" w:eastAsia="微软雅黑" w:cs="微软雅黑"/>
          <w:b/>
          <w:bCs/>
          <w:caps w:val="0"/>
          <w:color w:val="021EAA"/>
          <w:sz w:val="28"/>
          <w:szCs w:val="28"/>
        </w:rPr>
        <w:t>未来这些事业单位将会全部消失。</w:t>
      </w:r>
    </w:p>
    <w:p w14:paraId="1F4FD87E">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b/>
          <w:bCs/>
          <w:caps w:val="0"/>
          <w:sz w:val="28"/>
          <w:szCs w:val="28"/>
        </w:rPr>
        <w:t>（五）交由各行业协会代管的事业单位75家</w:t>
      </w:r>
    </w:p>
    <w:p w14:paraId="64E9DA66">
      <w:pPr>
        <w:keepNext w:val="0"/>
        <w:keepLines w:val="0"/>
        <w:widowControl/>
        <w:suppressLineNumbers w:val="0"/>
        <w:jc w:val="left"/>
        <w:rPr>
          <w:rFonts w:hint="eastAsia" w:ascii="微软雅黑" w:hAnsi="微软雅黑" w:eastAsia="微软雅黑" w:cs="微软雅黑"/>
          <w:sz w:val="28"/>
          <w:szCs w:val="28"/>
        </w:rPr>
      </w:pP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12"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4"/>
                    <pic:cNvPicPr>
                      <a:picLocks noChangeAspect="1"/>
                    </pic:cNvPicPr>
                  </pic:nvPicPr>
                  <pic:blipFill>
                    <a:blip r:embed="rId12"/>
                    <a:stretch>
                      <a:fillRect/>
                    </a:stretch>
                  </pic:blipFill>
                  <pic:spPr>
                    <a:xfrm>
                      <a:off x="0" y="0"/>
                      <a:ext cx="5266690" cy="3950335"/>
                    </a:xfrm>
                    <a:prstGeom prst="rect">
                      <a:avLst/>
                    </a:prstGeom>
                    <a:noFill/>
                    <a:ln w="9525">
                      <a:noFill/>
                    </a:ln>
                  </pic:spPr>
                </pic:pic>
              </a:graphicData>
            </a:graphic>
          </wp:inline>
        </w:drawing>
      </w: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8"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5"/>
                    <pic:cNvPicPr>
                      <a:picLocks noChangeAspect="1"/>
                    </pic:cNvPicPr>
                  </pic:nvPicPr>
                  <pic:blipFill>
                    <a:blip r:embed="rId13"/>
                    <a:stretch>
                      <a:fillRect/>
                    </a:stretch>
                  </pic:blipFill>
                  <pic:spPr>
                    <a:xfrm>
                      <a:off x="0" y="0"/>
                      <a:ext cx="5266690" cy="3950335"/>
                    </a:xfrm>
                    <a:prstGeom prst="rect">
                      <a:avLst/>
                    </a:prstGeom>
                    <a:noFill/>
                    <a:ln w="9525">
                      <a:noFill/>
                    </a:ln>
                  </pic:spPr>
                </pic:pic>
              </a:graphicData>
            </a:graphic>
          </wp:inline>
        </w:drawing>
      </w: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11"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6"/>
                    <pic:cNvPicPr>
                      <a:picLocks noChangeAspect="1"/>
                    </pic:cNvPicPr>
                  </pic:nvPicPr>
                  <pic:blipFill>
                    <a:blip r:embed="rId14"/>
                    <a:stretch>
                      <a:fillRect/>
                    </a:stretch>
                  </pic:blipFill>
                  <pic:spPr>
                    <a:xfrm>
                      <a:off x="0" y="0"/>
                      <a:ext cx="5266690" cy="3950335"/>
                    </a:xfrm>
                    <a:prstGeom prst="rect">
                      <a:avLst/>
                    </a:prstGeom>
                    <a:noFill/>
                    <a:ln w="9525">
                      <a:noFill/>
                    </a:ln>
                  </pic:spPr>
                </pic:pic>
              </a:graphicData>
            </a:graphic>
          </wp:inline>
        </w:drawing>
      </w: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13"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7"/>
                    <pic:cNvPicPr>
                      <a:picLocks noChangeAspect="1"/>
                    </pic:cNvPicPr>
                  </pic:nvPicPr>
                  <pic:blipFill>
                    <a:blip r:embed="rId15"/>
                    <a:stretch>
                      <a:fillRect/>
                    </a:stretch>
                  </pic:blipFill>
                  <pic:spPr>
                    <a:xfrm>
                      <a:off x="0" y="0"/>
                      <a:ext cx="5266690" cy="3950335"/>
                    </a:xfrm>
                    <a:prstGeom prst="rect">
                      <a:avLst/>
                    </a:prstGeom>
                    <a:noFill/>
                    <a:ln w="9525">
                      <a:noFill/>
                    </a:ln>
                  </pic:spPr>
                </pic:pic>
              </a:graphicData>
            </a:graphic>
          </wp:inline>
        </w:drawing>
      </w:r>
      <w:r>
        <w:rPr>
          <w:rFonts w:hint="eastAsia" w:ascii="微软雅黑" w:hAnsi="微软雅黑" w:eastAsia="微软雅黑" w:cs="微软雅黑"/>
          <w:kern w:val="0"/>
          <w:sz w:val="28"/>
          <w:szCs w:val="28"/>
          <w:lang w:val="en-US" w:eastAsia="zh-CN" w:bidi="ar"/>
        </w:rPr>
        <w:drawing>
          <wp:inline distT="0" distB="0" distL="114300" distR="114300">
            <wp:extent cx="5266690" cy="3950335"/>
            <wp:effectExtent l="0" t="0" r="6350" b="12065"/>
            <wp:docPr id="10"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8"/>
                    <pic:cNvPicPr>
                      <a:picLocks noChangeAspect="1"/>
                    </pic:cNvPicPr>
                  </pic:nvPicPr>
                  <pic:blipFill>
                    <a:blip r:embed="rId16"/>
                    <a:stretch>
                      <a:fillRect/>
                    </a:stretch>
                  </pic:blipFill>
                  <pic:spPr>
                    <a:xfrm>
                      <a:off x="0" y="0"/>
                      <a:ext cx="5266690" cy="3950335"/>
                    </a:xfrm>
                    <a:prstGeom prst="rect">
                      <a:avLst/>
                    </a:prstGeom>
                    <a:noFill/>
                    <a:ln w="9525">
                      <a:noFill/>
                    </a:ln>
                  </pic:spPr>
                </pic:pic>
              </a:graphicData>
            </a:graphic>
          </wp:inline>
        </w:drawing>
      </w:r>
    </w:p>
    <w:p w14:paraId="42EA4C50">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由行业协会代管的75家事业单位中：</w:t>
      </w:r>
    </w:p>
    <w:p w14:paraId="66C3AC64">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1、商业网点建设开发中心，根据其2024年年报表述，“进行所属代持企业的清理工作。没有实质开展业务”；</w:t>
      </w:r>
    </w:p>
    <w:p w14:paraId="789DED02">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2、中华全国手工业合作总社与中国轻工业联合会合署办公；</w:t>
      </w:r>
    </w:p>
    <w:p w14:paraId="4EE6E30B">
      <w:pPr>
        <w:pStyle w:val="3"/>
        <w:keepNext w:val="0"/>
        <w:keepLines w:val="0"/>
        <w:widowControl/>
        <w:suppressLineNumbers w:val="0"/>
        <w:ind w:left="0" w:firstLine="42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3、机械工业深圳培训中心正在改制转企。</w:t>
      </w:r>
    </w:p>
    <w:p w14:paraId="693CBCCA">
      <w:pPr>
        <w:pStyle w:val="3"/>
        <w:keepNext w:val="0"/>
        <w:keepLines w:val="0"/>
        <w:widowControl/>
        <w:suppressLineNumbers w:val="0"/>
        <w:rPr>
          <w:rFonts w:hint="eastAsia" w:ascii="微软雅黑" w:hAnsi="微软雅黑" w:eastAsia="微软雅黑" w:cs="微软雅黑"/>
          <w:sz w:val="28"/>
          <w:szCs w:val="28"/>
        </w:rPr>
      </w:pPr>
      <w:r>
        <w:rPr>
          <w:rFonts w:hint="eastAsia" w:ascii="微软雅黑" w:hAnsi="微软雅黑" w:eastAsia="微软雅黑" w:cs="微软雅黑"/>
          <w:caps w:val="0"/>
          <w:sz w:val="28"/>
          <w:szCs w:val="28"/>
        </w:rPr>
        <w:t> </w:t>
      </w:r>
    </w:p>
    <w:p w14:paraId="398064B3">
      <w:pPr>
        <w:rPr>
          <w:rFonts w:hint="eastAsia" w:ascii="微软雅黑" w:hAnsi="微软雅黑" w:eastAsia="微软雅黑" w:cs="微软雅黑"/>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B2F4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2</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2025-08-24T02:18:33Z</dcterms:created>
  <dc:creator>Administrator</dc:creator>
  <cp:lastModifiedBy>曹争鸣</cp:lastModifiedBy>
  <dcterms:modified xsi:type="dcterms:W3CDTF">2025-08-24T02:21:18Z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eyJoZGlkIjoiYjlkYjA3ZGNmNmFhOWE1NmVjN2I4YTAwZjhhZTc1YzAiLCJ1c2VySWQiOiIyNzQ5NjQyMjAifQ==</vt:lpwstr>
  </property>
  <property fmtid="{D5CDD505-2E9C-101B-9397-08002B2CF9AE}" pid="4" name="ICV">
    <vt:lpwstr>13333E1BFA93462A93B0EAD6E9022433_12</vt:lpwstr>
  </property>
</Properties>
</file>