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2E18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10" w:afterAutospacing="0" w:line="21" w:lineRule="atLeast"/>
        <w:ind w:left="0" w:right="0"/>
        <w:jc w:val="center"/>
        <w:rPr>
          <w:rFonts w:hint="eastAsia" w:ascii="微软雅黑" w:hAnsi="微软雅黑" w:eastAsia="微软雅黑" w:cs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十五五生态环保产业全景实操手册：18项核心重大工程、5大资金渠道、项目申报全解析</w:t>
      </w:r>
    </w:p>
    <w:p w14:paraId="2081D03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330" w:afterAutospacing="0" w:line="300" w:lineRule="atLeast"/>
        <w:ind w:left="0" w:right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0"/>
          <w:sz w:val="28"/>
          <w:szCs w:val="28"/>
          <w:u w:val="none"/>
          <w:bdr w:val="none" w:color="auto" w:sz="0" w:space="0"/>
          <w:lang w:val="en-US" w:eastAsia="zh-CN" w:bidi="ar"/>
        </w:rPr>
        <w:t>赛迪新质生产力发展促进中心</w:t>
      </w:r>
      <w:r>
        <w:rPr>
          <w:rStyle w:val="7"/>
          <w:rFonts w:hint="eastAsia" w:ascii="微软雅黑" w:hAnsi="微软雅黑" w:eastAsia="微软雅黑" w:cs="微软雅黑"/>
          <w:i w:val="0"/>
          <w:iCs w:val="0"/>
          <w:kern w:val="0"/>
          <w:sz w:val="28"/>
          <w:szCs w:val="28"/>
          <w:bdr w:val="none" w:color="auto" w:sz="0" w:space="0"/>
          <w:lang w:val="en-US" w:eastAsia="zh-CN" w:bidi="ar"/>
        </w:rPr>
        <w:t>2026年6月30日</w:t>
      </w:r>
    </w:p>
    <w:p w14:paraId="05D11A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397D10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6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bdr w:val="none" w:color="auto" w:sz="0" w:space="0"/>
        </w:rPr>
        <w:t>2026年作为"十五五"规划开局之年，《美丽中国建设"十五五"规划》已正式审议通过，生态环境保护从"补短板、打基础"的污染防治攻坚阶段；</w:t>
      </w:r>
    </w:p>
    <w:p w14:paraId="634EA9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color w:val="auto"/>
          <w:sz w:val="28"/>
          <w:szCs w:val="28"/>
        </w:rPr>
      </w:pPr>
      <w:bookmarkStart w:id="0" w:name="_GoBack"/>
      <w:bookmarkEnd w:id="0"/>
    </w:p>
    <w:p w14:paraId="14A5B7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D8F0EE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auto"/>
          <w:sz w:val="28"/>
          <w:szCs w:val="28"/>
          <w:bdr w:val="none" w:color="auto" w:sz="0" w:space="0"/>
        </w:rPr>
        <w:t>全面转向以碳达峰碳中和为牵引，协同推进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降碳、减污、扩绿、增长</w:t>
      </w:r>
      <w:r>
        <w:rPr>
          <w:rFonts w:hint="eastAsia" w:ascii="微软雅黑" w:hAnsi="微软雅黑" w:eastAsia="微软雅黑" w:cs="微软雅黑"/>
          <w:color w:val="auto"/>
          <w:sz w:val="28"/>
          <w:szCs w:val="28"/>
          <w:bdr w:val="none" w:color="auto" w:sz="0" w:space="0"/>
        </w:rPr>
        <w:t>的高质量发展新阶段。</w:t>
      </w:r>
    </w:p>
    <w:p w14:paraId="471E67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16C7F70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1.83–2.3万亿</w:t>
      </w:r>
      <w:r>
        <w:rPr>
          <w:rFonts w:hint="eastAsia" w:ascii="微软雅黑" w:hAnsi="微软雅黑" w:eastAsia="微软雅黑" w:cs="微软雅黑"/>
          <w:b/>
          <w:bCs/>
          <w:kern w:val="0"/>
          <w:sz w:val="28"/>
          <w:szCs w:val="28"/>
          <w:bdr w:val="none" w:color="auto" w:sz="0" w:space="0"/>
          <w:lang w:val="en-US" w:eastAsia="zh-CN" w:bidi="ar"/>
        </w:rPr>
        <w:t>核心领域总投资</w:t>
      </w: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18项</w:t>
      </w:r>
      <w:r>
        <w:rPr>
          <w:rFonts w:hint="eastAsia" w:ascii="微软雅黑" w:hAnsi="微软雅黑" w:eastAsia="微软雅黑" w:cs="微软雅黑"/>
          <w:b/>
          <w:bCs/>
          <w:kern w:val="0"/>
          <w:sz w:val="28"/>
          <w:szCs w:val="28"/>
          <w:bdr w:val="none" w:color="auto" w:sz="0" w:space="0"/>
          <w:lang w:val="en-US" w:eastAsia="zh-CN" w:bidi="ar"/>
        </w:rPr>
        <w:t>环保重大工程</w:t>
      </w: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5大渠道</w:t>
      </w:r>
      <w:r>
        <w:rPr>
          <w:rFonts w:hint="eastAsia" w:ascii="微软雅黑" w:hAnsi="微软雅黑" w:eastAsia="微软雅黑" w:cs="微软雅黑"/>
          <w:b/>
          <w:bCs/>
          <w:kern w:val="0"/>
          <w:sz w:val="28"/>
          <w:szCs w:val="28"/>
          <w:bdr w:val="none" w:color="auto" w:sz="0" w:space="0"/>
          <w:lang w:val="en-US" w:eastAsia="zh-CN" w:bidi="ar"/>
        </w:rPr>
        <w:t>资金精准匹配</w:t>
      </w:r>
    </w:p>
    <w:p w14:paraId="5922BCB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0000F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FF"/>
          <w:sz w:val="28"/>
          <w:szCs w:val="28"/>
          <w:bdr w:val="none" w:color="auto" w:sz="0" w:space="0"/>
        </w:rPr>
        <w:t>叠加节能降碳、循环经济、绿色基建等延伸领域，市场空间从万亿级向十万亿级拓展。</w:t>
      </w:r>
    </w:p>
    <w:p w14:paraId="45764E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color w:val="0000FF"/>
          <w:sz w:val="28"/>
          <w:szCs w:val="28"/>
        </w:rPr>
      </w:pPr>
    </w:p>
    <w:p w14:paraId="238B5E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0000F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FF"/>
          <w:sz w:val="28"/>
          <w:szCs w:val="28"/>
          <w:bdr w:val="none" w:color="auto" w:sz="0" w:space="0"/>
        </w:rPr>
        <w:t>环保产业不再是单纯的"成本中心"，而是成为撬动产业转型、创造绿色价值的新动能策源地。</w:t>
      </w:r>
    </w:p>
    <w:p w14:paraId="3E473FF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t>一、底层逻辑之变：从"末端治污"到"系统降碳"</w:t>
      </w:r>
    </w:p>
    <w:p w14:paraId="48CCB3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498C56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  <w:bdr w:val="none" w:color="auto" w:sz="0" w:space="0"/>
        </w:rPr>
        <w:t>十五五生态环保工作的核心转向，本质是考核逻辑、产业定位、治理模式的三重升级，彻底告别粗放式治污的旧路径。</w:t>
      </w:r>
    </w:p>
    <w:p w14:paraId="1C6FC68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757257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① 考核逻辑：从能耗双控到</w:t>
      </w:r>
      <w:r>
        <w:rPr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碳排放双控</w:t>
      </w:r>
    </w:p>
    <w:p w14:paraId="4EFED3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23FE98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"十五五"是全面转向碳排放总量和强度双控制度的首个五年，考核标尺从"控制能源消费总量"变为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"精准管控碳排放质量"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3CD612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34FA3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环保服务边界从末端污染治理，向前端能源替代、中端节能降碳、后端资源循环全链条延伸，服务场景渗透到工业、建筑、交通、园区等全领域。</w:t>
      </w:r>
    </w:p>
    <w:p w14:paraId="000A955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18E5BBA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② 产业定位：从成本负担到价值创造</w:t>
      </w:r>
    </w:p>
    <w:p w14:paraId="7F2163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0A3B31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污水处理厂向"能源工厂"转型、垃圾焚烧发电并网、再生金属替代原生矿、碳汇资产交易变现，环保产业正在实现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从"花钱治污"到"绿色创效"的质变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385168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096E01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③ 治理模式：从单点攻坚到系统治理</w:t>
      </w:r>
    </w:p>
    <w:p w14:paraId="38E82E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498196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不再局限于单一水体、单一地块的碎片化修复，而是转向山水林田湖草沙一体化保护修复、流域统筹治理、园区循环化改造等系统性工程。</w:t>
      </w:r>
    </w:p>
    <w:p w14:paraId="4A7D89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01E91F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18项环保重大工程全部以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"区域协同、系统治理、长效运维"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为核心导向，单个项目体量从百万级向十亿、百亿级跃升。</w:t>
      </w:r>
    </w:p>
    <w:p w14:paraId="16A874D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t>二、五大黄金赛道：18项重大工程精准落地</w:t>
      </w:r>
    </w:p>
    <w:p w14:paraId="4677C0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03333E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226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  <w:bdr w:val="none" w:color="auto" w:sz="0" w:space="0"/>
        </w:rPr>
        <w:t>"十五五"规划纲要109项重大工程中，绿色低碳领域共3大类18项工程，覆盖碳达峰碳中和、环境质量提升、生态保护修复三大核心板块，延伸出五大高景气赛道。</w:t>
      </w:r>
    </w:p>
    <w:p w14:paraId="6F6393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FF000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赛道一：环境质量提质升级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（传统治污深化版）</w:t>
      </w:r>
    </w:p>
    <w:p w14:paraId="2E3136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核心从"有没有"转向"好不好"，聚焦深度治理、协同减排、提质增效。</w:t>
      </w:r>
    </w:p>
    <w:p w14:paraId="582161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0925139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大气治理</w:t>
      </w:r>
      <w:r>
        <w:rPr>
          <w:rFonts w:hint="eastAsia" w:ascii="微软雅黑" w:hAnsi="微软雅黑" w:eastAsia="微软雅黑" w:cs="微软雅黑"/>
          <w:b/>
          <w:bCs/>
          <w:color w:val="0A4F52"/>
          <w:spacing w:val="8"/>
          <w:sz w:val="28"/>
          <w:szCs w:val="28"/>
          <w:bdr w:val="none" w:color="auto" w:sz="0" w:space="0"/>
          <w:shd w:val="clear" w:fill="EBF5F4"/>
        </w:rPr>
        <w:t>：</w:t>
      </w:r>
    </w:p>
    <w:p w14:paraId="5EB4C1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完成5亿吨水泥熟料、1亿吨焦化产能超低排放改造；</w:t>
      </w:r>
    </w:p>
    <w:p w14:paraId="5CD647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推进国四及以下货车淘汰、燃煤锅炉清洁替代。</w:t>
      </w:r>
    </w:p>
    <w:p w14:paraId="712EBE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E19A7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水环境治理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00FF1D5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以长江、黄河等流域及30个重点湖库为核心，开展总磷、总氮专项整治；</w:t>
      </w:r>
    </w:p>
    <w:p w14:paraId="6357D3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京津冀、黄河流域布局规模化再生水利用工程。</w:t>
      </w:r>
    </w:p>
    <w:p w14:paraId="04AAA6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1E27A0D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土壤与新污染物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55BBFB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聚焦石化化工行业土壤源头防控；</w:t>
      </w:r>
    </w:p>
    <w:p w14:paraId="3E88CBB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布局新污染物协同治理示范与国家级技术中心。</w:t>
      </w:r>
    </w:p>
    <w:p w14:paraId="4098E5E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77C967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固废与危废管控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5A0CC3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生活垃圾分类转运能力提升至75万吨/日；</w:t>
      </w:r>
    </w:p>
    <w:p w14:paraId="085EF35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建筑垃圾资源化利用设施升级；</w:t>
      </w:r>
    </w:p>
    <w:p w14:paraId="3745E3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尾矿库、历史遗留重金属矿区系统治理。</w:t>
      </w:r>
    </w:p>
    <w:p w14:paraId="773112D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04E73B0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适配主体：</w:t>
      </w:r>
    </w:p>
    <w:p w14:paraId="51D436E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传统水务、固废、大气治理工程公司，地方环保平台，环境咨询与检测机构。</w:t>
      </w:r>
    </w:p>
    <w:p w14:paraId="6E7677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</w:p>
    <w:p w14:paraId="33F976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FF000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赛道二：生态保护修复系统工程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（片区级大项目）</w:t>
      </w:r>
    </w:p>
    <w:p w14:paraId="72BF19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投资体量增长最快的赛道之一，以重大生态屏障建设为核心，强调一体化、系统性治理。</w:t>
      </w:r>
    </w:p>
    <w:p w14:paraId="7B999A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4C2410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山水林田湖草沙一体化工程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3E25AE5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覆盖项目扩容至60个以上，单个项目平均投资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25–30亿元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bdr w:val="none" w:color="auto" w:sz="0" w:space="0"/>
        </w:rPr>
        <w:t>。</w:t>
      </w:r>
    </w:p>
    <w:p w14:paraId="13DA68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6830D94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五大生态屏障工程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36DE5B8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"三北"工程六期、青藏高原、长江重点生态区、南方丘陵山地带、海岸带同步推进，新增水土流失治理面积600万公顷。</w:t>
      </w:r>
    </w:p>
    <w:p w14:paraId="595FC2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1EB24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自然保护地体系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0D00DA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推进50个国家公园设立与能力提升，加强珍稀濒危物种栖息地恢复与种源繁育。</w:t>
      </w:r>
    </w:p>
    <w:p w14:paraId="5AD61AA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4EAACED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适配主体：</w:t>
      </w:r>
    </w:p>
    <w:p w14:paraId="55E7A2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生态修复龙头企业、地方城投/文旅平台、林草系统下属单位、地质矿山治理企业。</w:t>
      </w:r>
    </w:p>
    <w:p w14:paraId="0E1B51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</w:p>
    <w:p w14:paraId="607E6F2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FF000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赛道三：循环经济与资源再生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（战略级新赛道）</w:t>
      </w:r>
    </w:p>
    <w:p w14:paraId="552160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</w:p>
    <w:p w14:paraId="3BA4D41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大宗工业固废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3CA4B2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尾矿、煤矸石、粉煤灰等高值化利用，大宗工业固废综合利用率保持在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57%以上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bdr w:val="none" w:color="auto" w:sz="0" w:space="0"/>
        </w:rPr>
        <w:t>。</w:t>
      </w:r>
    </w:p>
    <w:p w14:paraId="6BCC4DD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4DE922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"新三样"固废闭环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14C689E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废旧动力电池梯次利用与有价金属提纯、退役光伏组件拆解回收、风电叶片复合材料处置，构建全生命周期循环体系。</w:t>
      </w:r>
    </w:p>
    <w:p w14:paraId="27469D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137FEF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再生资源与再制造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54D964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主要资源产出率提高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16%左右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；</w:t>
      </w:r>
    </w:p>
    <w:p w14:paraId="12C94C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推动汽车零部件、工程机械等再制造产业规范化。</w:t>
      </w:r>
    </w:p>
    <w:p w14:paraId="192470F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6ABE2D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城乡废弃物资源化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22A5867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生活垃圾资源化利用率达到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65%以上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bdr w:val="none" w:color="auto" w:sz="0" w:space="0"/>
        </w:rPr>
        <w:t>。</w:t>
      </w:r>
    </w:p>
    <w:p w14:paraId="6FE365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03DCF1D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适配主体：</w:t>
      </w:r>
    </w:p>
    <w:p w14:paraId="68D6A3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资源再生企业、新能源产业链配套商、园区运营商、再制造技术企业。</w:t>
      </w:r>
    </w:p>
    <w:p w14:paraId="60DA8A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</w:p>
    <w:p w14:paraId="1AB6EB2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FF000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赛道四：双碳与绿色低碳转型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（全行业增量市场）</w:t>
      </w:r>
    </w:p>
    <w:p w14:paraId="52F3FB0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市场边界最宽的赛道，从环保行业延伸至全产业绿色升级，政策资金重点倾斜。</w:t>
      </w:r>
    </w:p>
    <w:p w14:paraId="682EAFF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 w:line="2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24AD64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重点行业节能降碳改造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2D8CCC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火电、钢铁、有色、石化、建材等全流程节能改造，实现节能量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1.5亿吨标准煤以上</w:t>
      </w:r>
      <w:r>
        <w:rPr>
          <w:rStyle w:val="6"/>
          <w:rFonts w:hint="eastAsia" w:ascii="微软雅黑" w:hAnsi="微软雅黑" w:eastAsia="微软雅黑" w:cs="微软雅黑"/>
          <w:b w:val="0"/>
          <w:bCs w:val="0"/>
          <w:color w:val="000000"/>
          <w:sz w:val="28"/>
          <w:szCs w:val="28"/>
          <w:bdr w:val="none" w:color="auto" w:sz="0" w:space="0"/>
        </w:rPr>
        <w:t>。</w:t>
      </w:r>
    </w:p>
    <w:p w14:paraId="57557F6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5FE9C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零碳园区与零碳运输走廊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09FCA3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建设100个左右国家级零碳园区；</w:t>
      </w:r>
    </w:p>
    <w:p w14:paraId="78B3B3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货运通道布局充换电、氢氨醇加注设施。</w:t>
      </w:r>
    </w:p>
    <w:p w14:paraId="762DAC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428DB4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 </w:t>
      </w:r>
      <w:r>
        <w:rPr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CCUS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与非二温室气体减排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008F471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形成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3000万吨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二氧化碳当量减排能力。</w:t>
      </w:r>
    </w:p>
    <w:p w14:paraId="243029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21A184C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▸ 煤炭清洁替代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BF6EE"/>
        </w:rPr>
        <w:t>：</w:t>
      </w:r>
    </w:p>
    <w:p w14:paraId="3DDB93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食品、纺织、造纸等行业燃煤清洁替代，年替代煤炭3000万吨。</w:t>
      </w:r>
    </w:p>
    <w:p w14:paraId="6CFC29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734344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适配主体：</w:t>
      </w:r>
    </w:p>
    <w:p w14:paraId="297EBE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工业节能服务商、园区运营方、能源科技企业、碳咨询与碳资产管理机构。</w:t>
      </w:r>
    </w:p>
    <w:p w14:paraId="40BF79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</w:pPr>
    </w:p>
    <w:p w14:paraId="492D2E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FF000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赛道五：智慧环保与治理能力现代化</w:t>
      </w: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bdr w:val="none" w:color="auto" w:sz="0" w:space="0"/>
        </w:rPr>
        <w:t>（技术驱动型增量）</w:t>
      </w:r>
    </w:p>
    <w:p w14:paraId="5A5ECA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0AAC679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天地空一体化监测网络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5C500C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总投资超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600亿元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，构建卫星、无人机、地面站、微站结合的全域监测体系。</w:t>
      </w:r>
    </w:p>
    <w:p w14:paraId="24D53E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3B02A9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碳计量与监管平台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79F1F75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建设国家碳排放数据综合管理系统、温室气体排放因子数据库、碳计量实验室。</w:t>
      </w:r>
    </w:p>
    <w:p w14:paraId="707238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1D1307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▸ 智慧运维与执法信息化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bdr w:val="none" w:color="auto" w:sz="0" w:space="0"/>
        </w:rPr>
        <w:t>：</w:t>
      </w:r>
    </w:p>
    <w:p w14:paraId="3C5EBC0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污水处理厂、垃圾焚烧厂智慧运维改造；</w:t>
      </w:r>
    </w:p>
    <w:p w14:paraId="2F3DF0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生态环境综合执法装备标准化升级。</w:t>
      </w:r>
    </w:p>
    <w:p w14:paraId="710E4BE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4E7BF3B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适配主体：</w:t>
      </w:r>
    </w:p>
    <w:p w14:paraId="2244F4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8B7355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8B7355"/>
          <w:sz w:val="28"/>
          <w:szCs w:val="28"/>
          <w:bdr w:val="none" w:color="auto" w:sz="0" w:space="0"/>
        </w:rPr>
        <w:t>监测设备厂商、环保信息化企业、智慧环保解决方案服务商。</w:t>
      </w:r>
    </w:p>
    <w:p w14:paraId="4ABA35B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t>三、五大核心资金渠道：精准匹配项目属性</w:t>
      </w:r>
    </w:p>
    <w:p w14:paraId="6792C1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1D32B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  <w:bdr w:val="none" w:color="auto" w:sz="0" w:space="0"/>
        </w:rPr>
        <w:t>十五五生态环保领域形成</w:t>
      </w:r>
      <w:r>
        <w:rPr>
          <w:rStyle w:val="6"/>
          <w:rFonts w:hint="eastAsia" w:ascii="微软雅黑" w:hAnsi="微软雅黑" w:eastAsia="微软雅黑" w:cs="微软雅黑"/>
          <w:color w:val="0A4F52"/>
          <w:spacing w:val="8"/>
          <w:sz w:val="28"/>
          <w:szCs w:val="28"/>
          <w:bdr w:val="none" w:color="auto" w:sz="0" w:space="0"/>
        </w:rPr>
        <w:t>"财政资金引导、债务工具支撑、社会资本参与"</w:t>
      </w:r>
      <w:r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  <w:bdr w:val="none" w:color="auto" w:sz="0" w:space="0"/>
        </w:rPr>
        <w:t>的多元投入格局，不同属性项目对应不同资金渠道，</w:t>
      </w:r>
      <w:r>
        <w:rPr>
          <w:rStyle w:val="6"/>
          <w:rFonts w:hint="eastAsia" w:ascii="微软雅黑" w:hAnsi="微软雅黑" w:eastAsia="微软雅黑" w:cs="微软雅黑"/>
          <w:color w:val="C0392B"/>
          <w:spacing w:val="8"/>
          <w:sz w:val="28"/>
          <w:szCs w:val="28"/>
          <w:bdr w:val="none" w:color="auto" w:sz="0" w:space="0"/>
        </w:rPr>
        <w:t>错配将直接导致申报失败</w:t>
      </w:r>
      <w:r>
        <w:rPr>
          <w:rFonts w:hint="eastAsia" w:ascii="微软雅黑" w:hAnsi="微软雅黑" w:eastAsia="微软雅黑" w:cs="微软雅黑"/>
          <w:color w:val="3F3F3F"/>
          <w:spacing w:val="8"/>
          <w:sz w:val="28"/>
          <w:szCs w:val="28"/>
          <w:bdr w:val="none" w:color="auto" w:sz="0" w:space="0"/>
        </w:rPr>
        <w:t>。</w:t>
      </w:r>
    </w:p>
    <w:p w14:paraId="7E1346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1F438A3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1、</w:t>
      </w: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中央生态环境专项资金</w:t>
      </w:r>
      <w:r>
        <w:rPr>
          <w:rFonts w:hint="eastAsia" w:ascii="微软雅黑" w:hAnsi="微软雅黑" w:eastAsia="微软雅黑" w:cs="微软雅黑"/>
          <w:b/>
          <w:bCs/>
          <w:color w:val="8B7355"/>
          <w:sz w:val="28"/>
          <w:szCs w:val="28"/>
          <w:bdr w:val="none" w:color="auto" w:sz="0" w:space="0"/>
        </w:rPr>
        <w:t>（常规治污主力）</w:t>
      </w:r>
    </w:p>
    <w:p w14:paraId="46D6712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包含大气、水、土壤污染防治资金及重点生态保护修复治理资金等，2026年仅污染防治类资金已提前下达超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528亿元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10637D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无偿转移支付，核心原则"资金跟着项目走，未入库原则上不安排资金"。</w:t>
      </w:r>
    </w:p>
    <w:p w14:paraId="3DE330F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302E7B5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2、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中央预算内投资</w:t>
      </w:r>
      <w:r>
        <w:rPr>
          <w:rFonts w:hint="eastAsia" w:ascii="微软雅黑" w:hAnsi="微软雅黑" w:eastAsia="微软雅黑" w:cs="微软雅黑"/>
          <w:b/>
          <w:bCs/>
          <w:color w:val="8B7355"/>
          <w:sz w:val="28"/>
          <w:szCs w:val="28"/>
          <w:bdr w:val="none" w:color="auto" w:sz="0" w:space="0"/>
        </w:rPr>
        <w:t>（工程类项目核心）</w:t>
      </w:r>
    </w:p>
    <w:p w14:paraId="5B6DC74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节能降碳专项、污染治理专项、生态保护修复专项，2026年节能降碳类突破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130亿元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5D4118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无偿投资补助，比例一般为15%–25%，生态修复类公益项目最高可达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80%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706123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4F87BBA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3、</w:t>
      </w: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超长期特别国债</w:t>
      </w:r>
      <w:r>
        <w:rPr>
          <w:rFonts w:hint="eastAsia" w:ascii="微软雅黑" w:hAnsi="微软雅黑" w:eastAsia="微软雅黑" w:cs="微软雅黑"/>
          <w:b/>
          <w:bCs/>
          <w:color w:val="8B7355"/>
          <w:sz w:val="28"/>
          <w:szCs w:val="28"/>
          <w:bdr w:val="none" w:color="auto" w:sz="0" w:space="0"/>
        </w:rPr>
        <w:t>（设备更新+重大工程）</w:t>
      </w:r>
    </w:p>
    <w:p w14:paraId="0BDFE2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支持环境基础设施提标改造、用能设备更新、回收循环利用体系建设等"两重两新"领域。</w:t>
      </w:r>
    </w:p>
    <w:p w14:paraId="269096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中央财政全额承担还本付息，不增加地方政府债务压力。</w:t>
      </w:r>
    </w:p>
    <w:p w14:paraId="1291B4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E4AA84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4、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地方政府专项债</w:t>
      </w:r>
      <w:r>
        <w:rPr>
          <w:rFonts w:hint="eastAsia" w:ascii="微软雅黑" w:hAnsi="微软雅黑" w:eastAsia="微软雅黑" w:cs="微软雅黑"/>
          <w:b/>
          <w:bCs/>
          <w:color w:val="8B7355"/>
          <w:sz w:val="28"/>
          <w:szCs w:val="28"/>
          <w:bdr w:val="none" w:color="auto" w:sz="0" w:space="0"/>
        </w:rPr>
        <w:t>（准经营性项目首选）</w:t>
      </w:r>
    </w:p>
    <w:p w14:paraId="365D68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适配城镇污水垃圾处理、重点流域水环境治理、污泥资源化等具备稳定收益的项目。</w:t>
      </w:r>
    </w:p>
    <w:p w14:paraId="595FD0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收益覆盖本息倍数需达到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1.1–1.3倍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；</w:t>
      </w:r>
    </w:p>
    <w:p w14:paraId="6188DC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C0392B"/>
          <w:sz w:val="28"/>
          <w:szCs w:val="28"/>
          <w:bdr w:val="none" w:color="auto" w:sz="0" w:space="0"/>
        </w:rPr>
        <w:t>纯公益无收益项目不得申报</w:t>
      </w:r>
      <w:r>
        <w:rPr>
          <w:rFonts w:hint="eastAsia" w:ascii="微软雅黑" w:hAnsi="微软雅黑" w:eastAsia="微软雅黑" w:cs="微软雅黑"/>
          <w:b/>
          <w:bCs/>
          <w:color w:val="C0392B"/>
          <w:spacing w:val="8"/>
          <w:sz w:val="28"/>
          <w:szCs w:val="28"/>
          <w:bdr w:val="none" w:color="auto" w:sz="0" w:space="0"/>
          <w:shd w:val="clear" w:fill="FFFFFF"/>
        </w:rPr>
        <w:t>。</w:t>
      </w:r>
    </w:p>
    <w:p w14:paraId="0D1477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5AA76177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5、</w:t>
      </w: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绿色金融与市场化融资</w:t>
      </w:r>
      <w:r>
        <w:rPr>
          <w:rFonts w:hint="eastAsia" w:ascii="微软雅黑" w:hAnsi="微软雅黑" w:eastAsia="微软雅黑" w:cs="微软雅黑"/>
          <w:b/>
          <w:bCs/>
          <w:color w:val="8B7355"/>
          <w:sz w:val="28"/>
          <w:szCs w:val="28"/>
          <w:bdr w:val="none" w:color="auto" w:sz="0" w:space="0"/>
        </w:rPr>
        <w:t>（补充增量）</w:t>
      </w:r>
    </w:p>
    <w:p w14:paraId="7F5851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绿色信贷/绿色债券利率下浮，支持碳排放权质押；</w:t>
      </w:r>
    </w:p>
    <w:p w14:paraId="343DC3F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EOD模式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将生态治理与文旅、产业、土地增值等收益捆绑，全国EOD项目库授信已超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2000亿元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；</w:t>
      </w:r>
    </w:p>
    <w:p w14:paraId="393335A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存量成熟项目可通过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REITs盘活资产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6332E4C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7E85827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/>
        <w:ind w:left="0" w:right="0"/>
        <w:jc w:val="both"/>
        <w:rPr>
          <w:rStyle w:val="6"/>
          <w:rFonts w:hint="eastAsia" w:ascii="微软雅黑" w:hAnsi="微软雅黑" w:eastAsia="微软雅黑" w:cs="微软雅黑"/>
          <w:color w:val="C81D31" w:themeColor="accent6" w:themeShade="BF"/>
          <w:sz w:val="28"/>
          <w:szCs w:val="28"/>
          <w:bdr w:val="none" w:color="auto" w:sz="0" w:space="0"/>
        </w:rPr>
      </w:pPr>
      <w:r>
        <w:rPr>
          <w:rStyle w:val="6"/>
          <w:rFonts w:hint="eastAsia" w:ascii="微软雅黑" w:hAnsi="微软雅黑" w:eastAsia="微软雅黑" w:cs="微软雅黑"/>
          <w:color w:val="C81D31" w:themeColor="accent6" w:themeShade="BF"/>
          <w:sz w:val="28"/>
          <w:szCs w:val="28"/>
          <w:bdr w:val="none" w:color="auto" w:sz="0" w:space="0"/>
        </w:rPr>
        <w:t>经典资金拼盘模板（可直接套用）</w:t>
      </w:r>
    </w:p>
    <w:p w14:paraId="00413B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80" w:afterAutospacing="0"/>
        <w:ind w:left="0" w:right="0"/>
        <w:jc w:val="both"/>
        <w:rPr>
          <w:rStyle w:val="6"/>
          <w:rFonts w:hint="eastAsia" w:ascii="微软雅黑" w:hAnsi="微软雅黑" w:eastAsia="微软雅黑" w:cs="微软雅黑"/>
          <w:color w:val="18605A" w:themeColor="accent5" w:themeShade="80"/>
          <w:sz w:val="28"/>
          <w:szCs w:val="28"/>
          <w:bdr w:val="none" w:color="auto" w:sz="0" w:space="0"/>
        </w:rPr>
      </w:pPr>
    </w:p>
    <w:p w14:paraId="1679A2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18605A" w:themeColor="accent5" w:themeShade="8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18605A" w:themeColor="accent5" w:themeShade="80"/>
          <w:sz w:val="28"/>
          <w:szCs w:val="28"/>
          <w:bdr w:val="none" w:color="auto" w:sz="0" w:space="0"/>
        </w:rPr>
        <w:t>① 流域综合治理项目</w:t>
      </w:r>
      <w:r>
        <w:rPr>
          <w:rFonts w:hint="eastAsia" w:ascii="微软雅黑" w:hAnsi="微软雅黑" w:eastAsia="微软雅黑" w:cs="微软雅黑"/>
          <w:b/>
          <w:bCs/>
          <w:color w:val="18605A" w:themeColor="accent5" w:themeShade="80"/>
          <w:spacing w:val="8"/>
          <w:sz w:val="28"/>
          <w:szCs w:val="28"/>
          <w:bdr w:val="none" w:color="auto" w:sz="0" w:space="0"/>
        </w:rPr>
        <w:t>（总投资10亿级）：</w:t>
      </w:r>
    </w:p>
    <w:p w14:paraId="1E882B1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中央水污染防治资金20% + 超长期特别国债30% + 生态环保专项债25% + 政策性绿色信贷25%</w:t>
      </w:r>
    </w:p>
    <w:p w14:paraId="603C28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18605A" w:themeColor="accent5" w:themeShade="80"/>
          <w:sz w:val="28"/>
          <w:szCs w:val="28"/>
        </w:rPr>
      </w:pPr>
    </w:p>
    <w:p w14:paraId="0446F3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18605A" w:themeColor="accent5" w:themeShade="8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b/>
          <w:bCs/>
          <w:color w:val="18605A" w:themeColor="accent5" w:themeShade="80"/>
          <w:sz w:val="28"/>
          <w:szCs w:val="28"/>
          <w:bdr w:val="none" w:color="auto" w:sz="0" w:space="0"/>
        </w:rPr>
        <w:t>② 大宗固废综合利用基地</w:t>
      </w:r>
      <w:r>
        <w:rPr>
          <w:rFonts w:hint="eastAsia" w:ascii="微软雅黑" w:hAnsi="微软雅黑" w:eastAsia="微软雅黑" w:cs="微软雅黑"/>
          <w:b/>
          <w:bCs/>
          <w:color w:val="18605A" w:themeColor="accent5" w:themeShade="80"/>
          <w:sz w:val="28"/>
          <w:szCs w:val="28"/>
          <w:bdr w:val="none" w:color="auto" w:sz="0" w:space="0"/>
        </w:rPr>
        <w:t>：</w:t>
      </w:r>
    </w:p>
    <w:p w14:paraId="266A622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中央预算内投资20% + 地方专项债30% + 银行绿色贷款30% + 企业自筹20%</w:t>
      </w:r>
    </w:p>
    <w:p w14:paraId="0A8C6D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6C4828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color w:val="18605A" w:themeColor="accent5" w:themeShade="80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18605A" w:themeColor="accent5" w:themeShade="80"/>
          <w:sz w:val="28"/>
          <w:szCs w:val="28"/>
          <w:bdr w:val="none" w:color="auto" w:sz="0" w:space="0"/>
        </w:rPr>
        <w:t>③ 山水林田湖草沙EOD项目</w:t>
      </w:r>
      <w:r>
        <w:rPr>
          <w:rFonts w:hint="eastAsia" w:ascii="微软雅黑" w:hAnsi="微软雅黑" w:eastAsia="微软雅黑" w:cs="微软雅黑"/>
          <w:color w:val="18605A" w:themeColor="accent5" w:themeShade="80"/>
          <w:sz w:val="28"/>
          <w:szCs w:val="28"/>
          <w:bdr w:val="none" w:color="auto" w:sz="0" w:space="0"/>
        </w:rPr>
        <w:t>：</w:t>
      </w:r>
    </w:p>
    <w:p w14:paraId="224A6B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重点生态保护修复资金15% + 政策性银行长期贷款60% + 社会资本25%</w:t>
      </w:r>
    </w:p>
    <w:p w14:paraId="1DF89F03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color w:val="FF0000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t>四、项目谋划与申报实操：高分避坑指南</w:t>
      </w:r>
    </w:p>
    <w:p w14:paraId="6B4F053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CCE2C2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pacing w:val="8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pacing w:val="8"/>
          <w:sz w:val="28"/>
          <w:szCs w:val="28"/>
          <w:bdr w:val="none" w:color="auto" w:sz="0" w:space="0"/>
        </w:rPr>
        <w:t>项目谋划三大黄金原则</w:t>
      </w:r>
    </w:p>
    <w:p w14:paraId="48EC84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7C398261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1、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系统打包，提升能级</w:t>
      </w:r>
    </w:p>
    <w:p w14:paraId="01AFA56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</w:p>
    <w:p w14:paraId="75025C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将同区域污水治理、生态修复、农村环境整治、循环化改造打包为片区级综合治理项目，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体量越大、综合效益越突出，越容易获得大额资金支持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0EC548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79910052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lang w:val="en-US" w:eastAsia="zh-CN"/>
        </w:rPr>
        <w:t>2、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  <w:t>量化效益，可测可核</w:t>
      </w:r>
    </w:p>
    <w:p w14:paraId="1A6745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</w:p>
    <w:p w14:paraId="7E7AC7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如"年削减COD 500吨""修复湿地200公顷""年减碳2万吨"，</w:t>
      </w: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杜绝"改善生态环境""提升治理水平"等模糊表述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01BA529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5AFBC12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3、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肥瘦搭配，平衡现金流</w:t>
      </w:r>
    </w:p>
    <w:p w14:paraId="45D635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</w:p>
    <w:p w14:paraId="691EAEB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纯公益项目主动捆绑经营性内容，比如流域治理配套生态文旅、固废处置配套资源化产品收益，既满足专项债收益要求，也提升长效运营能力。</w:t>
      </w:r>
    </w:p>
    <w:p w14:paraId="16A132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52912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color w:val="FF0000"/>
          <w:spacing w:val="8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FF0000"/>
          <w:spacing w:val="8"/>
          <w:sz w:val="28"/>
          <w:szCs w:val="28"/>
          <w:bdr w:val="none" w:color="auto" w:sz="0" w:space="0"/>
        </w:rPr>
        <w:t>申报必备四大硬核要件</w:t>
      </w:r>
    </w:p>
    <w:p w14:paraId="775144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341C8FD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✓ 双入库前置</w:t>
      </w:r>
    </w:p>
    <w:p w14:paraId="4FD223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052268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对应专项资金的项目储备库 + 国家重大建设项目库，无入库代码的项目原则上不进入评审环节。</w:t>
      </w:r>
    </w:p>
    <w:p w14:paraId="654E46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5243068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✓ 手续全闭环</w:t>
      </w:r>
    </w:p>
    <w:p w14:paraId="53AC00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立项备案/可研批复、规划选址、用地预审、环评审批、节能审查五证齐全，环保类项目额外准备污染物达标证明、生态影响评估报告。</w:t>
      </w:r>
    </w:p>
    <w:p w14:paraId="237E95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364CB49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✓ 绩效全量化</w:t>
      </w:r>
    </w:p>
    <w:p w14:paraId="3DE4959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产出指标、效益指标、满意度指标三级绩效体系完整，数据与建设内容一一对应，逻辑自洽。</w:t>
      </w:r>
    </w:p>
    <w:p w14:paraId="7D6E23A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57286FC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✓ 方案可落地</w:t>
      </w:r>
    </w:p>
    <w:p w14:paraId="143621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建设内容、投资估算、资金拼盘、进度计划、运维机制清晰可执行，无明显缺项与逻辑矛盾。</w:t>
      </w:r>
    </w:p>
    <w:p w14:paraId="3E499C6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6FA3825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12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pacing w:val="8"/>
          <w:sz w:val="28"/>
          <w:szCs w:val="28"/>
          <w:bdr w:val="none" w:color="auto" w:sz="0" w:space="0"/>
        </w:rPr>
        <w:t>七条一票否决红线</w:t>
      </w:r>
    </w:p>
    <w:p w14:paraId="0BA096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①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未纳入对应项目储备库，无官方项目代码；</w:t>
      </w:r>
    </w:p>
    <w:p w14:paraId="592F8B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②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核心前期手续缺失、过期或弄虚作假；</w:t>
      </w:r>
    </w:p>
    <w:p w14:paraId="02F746F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③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同一建设内容重复申报多类中央财政资金；</w:t>
      </w:r>
    </w:p>
    <w:p w14:paraId="2B76258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④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包装纯景观、商业地产、楼堂馆所等伪生态、伪环保项目；</w:t>
      </w:r>
    </w:p>
    <w:p w14:paraId="6C4477E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⑤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虚假测算收益，违规新增地方政府隐性债务；</w:t>
      </w:r>
    </w:p>
    <w:p w14:paraId="74692D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6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⑥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项目主体存在环保失信、行政处罚或严重不良信用记录；</w:t>
      </w:r>
    </w:p>
    <w:p w14:paraId="169EF8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C0392B"/>
          <w:sz w:val="28"/>
          <w:szCs w:val="28"/>
          <w:bdr w:val="none" w:color="auto" w:sz="0" w:space="0"/>
        </w:rPr>
        <w:t>⑦</w:t>
      </w:r>
      <w:r>
        <w:rPr>
          <w:rFonts w:hint="eastAsia" w:ascii="微软雅黑" w:hAnsi="微软雅黑" w:eastAsia="微软雅黑" w:cs="微软雅黑"/>
          <w:sz w:val="28"/>
          <w:szCs w:val="28"/>
          <w:bdr w:val="none" w:color="auto" w:sz="0" w:space="0"/>
        </w:rPr>
        <w:t>已完工项目翻新包装、拆分项目套取财政资金。</w:t>
      </w:r>
    </w:p>
    <w:p w14:paraId="292D0A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168E17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color w:val="FF0000"/>
          <w:spacing w:val="8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FF0000"/>
          <w:spacing w:val="8"/>
          <w:sz w:val="28"/>
          <w:szCs w:val="28"/>
          <w:bdr w:val="none" w:color="auto" w:sz="0" w:space="0"/>
        </w:rPr>
        <w:t>提升通过率四大核心技巧</w:t>
      </w:r>
    </w:p>
    <w:p w14:paraId="559197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10" w:lineRule="atLeast"/>
        <w:ind w:left="0" w:right="0"/>
        <w:jc w:val="both"/>
        <w:rPr>
          <w:rFonts w:hint="eastAsia" w:ascii="微软雅黑" w:hAnsi="微软雅黑" w:eastAsia="微软雅黑" w:cs="微软雅黑"/>
          <w:sz w:val="28"/>
          <w:szCs w:val="28"/>
        </w:rPr>
      </w:pPr>
    </w:p>
    <w:p w14:paraId="5D57B8A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A、</w:t>
      </w: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锚定国家级重大工程</w:t>
      </w:r>
      <w:r>
        <w:rPr>
          <w:rFonts w:hint="eastAsia" w:ascii="微软雅黑" w:hAnsi="微软雅黑" w:eastAsia="微软雅黑" w:cs="微软雅黑"/>
          <w:b/>
          <w:bCs/>
          <w:color w:val="3F3F3F"/>
          <w:sz w:val="28"/>
          <w:szCs w:val="28"/>
          <w:bdr w:val="none" w:color="auto" w:sz="0" w:space="0"/>
        </w:rPr>
        <w:t>：</w:t>
      </w:r>
    </w:p>
    <w:p w14:paraId="546BDB1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215DCC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项目定位紧扣18项国家级重大工程方向，在材料中明确标注"纳入十五五XX重大工程"，政策契合度直接决定评审档位。</w:t>
      </w:r>
    </w:p>
    <w:p w14:paraId="22726CC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1188E18B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B、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嵌入数字化与低碳元素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FFFFF"/>
        </w:rPr>
        <w:t>：</w:t>
      </w:r>
    </w:p>
    <w:p w14:paraId="0D7BE7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37AB05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配套智慧监测、数字监管、碳减排相关内容，契合新质生产力与数字治理导向，在同类项目中形成差异化优势。</w:t>
      </w:r>
    </w:p>
    <w:p w14:paraId="1767EC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40436CEC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C、</w:t>
      </w:r>
      <w:r>
        <w:rPr>
          <w:rStyle w:val="6"/>
          <w:rFonts w:hint="eastAsia" w:ascii="微软雅黑" w:hAnsi="微软雅黑" w:eastAsia="微软雅黑" w:cs="微软雅黑"/>
          <w:b/>
          <w:bCs/>
          <w:color w:val="0A4F52"/>
          <w:sz w:val="28"/>
          <w:szCs w:val="28"/>
          <w:bdr w:val="none" w:color="auto" w:sz="0" w:space="0"/>
        </w:rPr>
        <w:t>强化示范复制价值</w:t>
      </w:r>
      <w:r>
        <w:rPr>
          <w:rFonts w:hint="eastAsia" w:ascii="微软雅黑" w:hAnsi="微软雅黑" w:eastAsia="微软雅黑" w:cs="微软雅黑"/>
          <w:b/>
          <w:bCs/>
          <w:color w:val="3F3F3F"/>
          <w:sz w:val="28"/>
          <w:szCs w:val="28"/>
          <w:bdr w:val="none" w:color="auto" w:sz="0" w:space="0"/>
        </w:rPr>
        <w:t>：</w:t>
      </w:r>
    </w:p>
    <w:p w14:paraId="05E818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C1EF94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突出技术模式创新、治理机制创新，强调可复制、可推广，争取纳入试点示范名录，获得评审加分倾斜。</w:t>
      </w:r>
    </w:p>
    <w:p w14:paraId="4E53A7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70CCD76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t>D、</w:t>
      </w:r>
      <w:r>
        <w:rPr>
          <w:rStyle w:val="6"/>
          <w:rFonts w:hint="eastAsia" w:ascii="微软雅黑" w:hAnsi="微软雅黑" w:eastAsia="微软雅黑" w:cs="微软雅黑"/>
          <w:b/>
          <w:bCs/>
          <w:color w:val="C4953A"/>
          <w:sz w:val="28"/>
          <w:szCs w:val="28"/>
          <w:bdr w:val="none" w:color="auto" w:sz="0" w:space="0"/>
        </w:rPr>
        <w:t>分级前置沟通对接</w:t>
      </w:r>
      <w:r>
        <w:rPr>
          <w:rFonts w:hint="eastAsia" w:ascii="微软雅黑" w:hAnsi="微软雅黑" w:eastAsia="微软雅黑" w:cs="微软雅黑"/>
          <w:b/>
          <w:bCs/>
          <w:color w:val="C4953A"/>
          <w:spacing w:val="8"/>
          <w:sz w:val="28"/>
          <w:szCs w:val="28"/>
          <w:bdr w:val="none" w:color="auto" w:sz="0" w:space="0"/>
          <w:shd w:val="clear" w:fill="FFFFFF"/>
        </w:rPr>
        <w:t>：</w:t>
      </w:r>
    </w:p>
    <w:p w14:paraId="764EE3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4C8E0B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提前与区县、市级、省级对应主管部门沟通，了解申报重点与评审倾向，提前优化方案，避免方向偏差。</w:t>
      </w:r>
    </w:p>
    <w:p w14:paraId="11CE147E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Style w:val="6"/>
          <w:rFonts w:hint="eastAsia" w:ascii="微软雅黑" w:hAnsi="微软雅黑" w:eastAsia="微软雅黑" w:cs="微软雅黑"/>
          <w:color w:val="FF0000"/>
          <w:kern w:val="0"/>
          <w:sz w:val="32"/>
          <w:szCs w:val="32"/>
          <w:bdr w:val="none" w:color="auto" w:sz="0" w:space="0"/>
          <w:lang w:val="en-US" w:eastAsia="zh-CN" w:bidi="ar"/>
        </w:rPr>
        <w:t>五、分主体行动建议：抢抓开局窗口期</w:t>
      </w:r>
    </w:p>
    <w:p w14:paraId="78E2CDB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</w:pPr>
    </w:p>
    <w:p w14:paraId="1E9D76E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▸ 地方政府与环保平台</w:t>
      </w:r>
    </w:p>
    <w:p w14:paraId="4AF3E94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系统梳理本地生态环境短板，围绕流域、矿区、园区等重点片区，谋划一批十亿级系统性综合治理项目；</w:t>
      </w:r>
    </w:p>
    <w:p w14:paraId="1BAE1E8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</w:p>
    <w:p w14:paraId="6BE9E3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积极探索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EOD、生态产品价值实现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等新模式，撬动社会资本参与，破解纯公益项目资金瓶颈。</w:t>
      </w:r>
    </w:p>
    <w:p w14:paraId="5653080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</w:pPr>
    </w:p>
    <w:p w14:paraId="7F94EB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  <w:t>▸ 传统环保工程企业</w:t>
      </w:r>
    </w:p>
    <w:p w14:paraId="2A8F1B1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加速从"单一施工"向</w:t>
      </w: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"建设+运维+综合服务"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转型；</w:t>
      </w:r>
    </w:p>
    <w:p w14:paraId="70985B9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深耕细分赛道打造核心技术优势；</w:t>
      </w:r>
    </w:p>
    <w:p w14:paraId="53B809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主动参与片区级项目整体策划，从项目承包商升级为综合解决方案服务商。</w:t>
      </w:r>
    </w:p>
    <w:p w14:paraId="33B8A59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5E29966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  <w:bdr w:val="none" w:color="auto" w:sz="0" w:space="0"/>
        </w:rPr>
        <w:t>▸ 科技与设备企业</w:t>
      </w:r>
    </w:p>
    <w:p w14:paraId="35561A7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聚焦智慧监测、新污染物治理、新能源固废回收、碳计量等新兴赛道，绑定国家级重大工程配套落地；</w:t>
      </w:r>
    </w:p>
    <w:p w14:paraId="0C2238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推动技术产品化、产品标准化，</w:t>
      </w:r>
      <w:r>
        <w:rPr>
          <w:rStyle w:val="6"/>
          <w:rFonts w:hint="eastAsia" w:ascii="微软雅黑" w:hAnsi="微软雅黑" w:eastAsia="微软雅黑" w:cs="微软雅黑"/>
          <w:color w:val="C4953A"/>
          <w:sz w:val="28"/>
          <w:szCs w:val="28"/>
          <w:bdr w:val="none" w:color="auto" w:sz="0" w:space="0"/>
        </w:rPr>
        <w:t>依托政策补贴快速拓展市场</w:t>
      </w: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。</w:t>
      </w:r>
    </w:p>
    <w:p w14:paraId="5179FD6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</w:pPr>
    </w:p>
    <w:p w14:paraId="3D5D632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90" w:afterAutospacing="0"/>
        <w:ind w:left="0" w:right="0"/>
        <w:jc w:val="both"/>
        <w:rPr>
          <w:rFonts w:hint="eastAsia" w:ascii="微软雅黑" w:hAnsi="微软雅黑" w:eastAsia="微软雅黑" w:cs="微软雅黑"/>
          <w:color w:val="C4953A"/>
          <w:sz w:val="28"/>
          <w:szCs w:val="28"/>
        </w:rPr>
      </w:pPr>
      <w:r>
        <w:rPr>
          <w:rStyle w:val="6"/>
          <w:rFonts w:hint="eastAsia" w:ascii="微软雅黑" w:hAnsi="微软雅黑" w:eastAsia="微软雅黑" w:cs="微软雅黑"/>
          <w:color w:val="0A4F52"/>
          <w:sz w:val="28"/>
          <w:szCs w:val="28"/>
        </w:rPr>
        <w:t>▸ 工业生产企业</w:t>
      </w:r>
    </w:p>
    <w:p w14:paraId="5A5F889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提前布局节能降碳改造、固废资源化利用、清洁生产升级，用足中央预算内投资、专项补贴、绿色信贷等政策红利；</w:t>
      </w:r>
    </w:p>
    <w:p w14:paraId="7DE2CE8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7" w:lineRule="atLeast"/>
        <w:ind w:left="0" w:right="0"/>
        <w:jc w:val="both"/>
        <w:rPr>
          <w:rFonts w:hint="eastAsia" w:ascii="微软雅黑" w:hAnsi="微软雅黑" w:eastAsia="微软雅黑" w:cs="微软雅黑"/>
          <w:color w:val="3F3F3F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3F3F3F"/>
          <w:sz w:val="28"/>
          <w:szCs w:val="28"/>
          <w:bdr w:val="none" w:color="auto" w:sz="0" w:space="0"/>
        </w:rPr>
        <w:t>在降低合规成本的同时，挖掘再生资源、碳资产等新的盈利点。</w:t>
      </w:r>
    </w:p>
    <w:p w14:paraId="056B2F08">
      <w:pPr>
        <w:keepNext w:val="0"/>
        <w:keepLines w:val="0"/>
        <w:widowControl/>
        <w:suppressLineNumbers w:val="0"/>
        <w:spacing w:before="0" w:beforeAutospacing="0" w:after="240" w:afterAutospacing="0"/>
        <w:ind w:left="0" w:right="0"/>
        <w:jc w:val="left"/>
        <w:rPr>
          <w:rFonts w:hint="eastAsia" w:ascii="微软雅黑" w:hAnsi="微软雅黑" w:eastAsia="微软雅黑" w:cs="微软雅黑"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u w:val="none"/>
          <w:bdr w:val="none" w:color="auto" w:sz="0" w:space="0"/>
          <w:lang w:val="en-US" w:eastAsia="zh-CN" w:bidi="ar"/>
        </w:rPr>
        <w:t>结语：</w:t>
      </w:r>
    </w:p>
    <w:p w14:paraId="050C53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/>
        <w:jc w:val="both"/>
        <w:rPr>
          <w:rFonts w:hint="eastAsia" w:ascii="微软雅黑" w:hAnsi="微软雅黑" w:eastAsia="微软雅黑" w:cs="微软雅黑"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7A4442"/>
          <w:sz w:val="28"/>
          <w:szCs w:val="28"/>
          <w:bdr w:val="none" w:color="auto" w:sz="0" w:space="0"/>
        </w:rPr>
        <w:t>十五五不是环保行业的收缩期，而是一次全面的价值升级。</w:t>
      </w:r>
    </w:p>
    <w:p w14:paraId="67741330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color w:val="333333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7A4442"/>
          <w:kern w:val="0"/>
          <w:sz w:val="28"/>
          <w:szCs w:val="28"/>
          <w:bdr w:val="none" w:color="auto" w:sz="0" w:space="0"/>
          <w:lang w:val="en-US" w:eastAsia="zh-CN" w:bidi="ar"/>
        </w:rPr>
        <w:t>从治污到降碳，从工程到运营，从政府买单到多元变现，行业的边界正在持续拓宽。</w:t>
      </w:r>
    </w:p>
    <w:p w14:paraId="2164CD14">
      <w:pPr>
        <w:keepNext w:val="0"/>
        <w:keepLines w:val="0"/>
        <w:widowControl/>
        <w:suppressLineNumbers w:val="0"/>
        <w:spacing w:before="0" w:beforeAutospacing="0" w:after="240" w:afterAutospacing="0"/>
        <w:ind w:left="0"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spacing w:val="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color w:val="7A4442"/>
          <w:kern w:val="0"/>
          <w:sz w:val="28"/>
          <w:szCs w:val="28"/>
          <w:bdr w:val="none" w:color="auto" w:sz="0" w:space="0"/>
          <w:lang w:val="en-US" w:eastAsia="zh-CN" w:bidi="ar"/>
        </w:rPr>
        <w:t>吃透政策逻辑、找准赛道定位、合规申报落地，就能把万亿级的政策红利，转化为实实在在的发展动能。</w:t>
      </w:r>
      <w:r>
        <w:rPr>
          <w:rFonts w:hint="eastAsia" w:ascii="微软雅黑" w:hAnsi="微软雅黑" w:eastAsia="微软雅黑" w:cs="微软雅黑"/>
          <w:kern w:val="0"/>
          <w:sz w:val="28"/>
          <w:szCs w:val="28"/>
          <w:bdr w:val="none" w:color="auto" w:sz="0" w:space="0"/>
          <w:lang w:val="en-US" w:eastAsia="zh-CN" w:bidi="ar"/>
        </w:rPr>
        <w:br w:type="textWrapping"/>
      </w:r>
    </w:p>
    <w:p w14:paraId="484B6C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spacing w:val="9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C71B5"/>
          <w:spacing w:val="9"/>
          <w:sz w:val="28"/>
          <w:szCs w:val="28"/>
          <w:bdr w:val="none" w:color="auto" w:sz="0" w:space="0"/>
        </w:rPr>
        <w:t>（声明：新闻来源丨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C71B5"/>
          <w:spacing w:val="9"/>
          <w:sz w:val="28"/>
          <w:szCs w:val="28"/>
          <w:bdr w:val="none" w:color="auto" w:sz="0" w:space="0"/>
          <w:shd w:val="clear" w:fill="FFFFFF"/>
        </w:rPr>
        <w:t>旅行创想家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C71B5"/>
          <w:spacing w:val="9"/>
          <w:sz w:val="28"/>
          <w:szCs w:val="28"/>
          <w:bdr w:val="none" w:color="auto" w:sz="0" w:space="0"/>
        </w:rPr>
        <w:t>，版权归作者所有，如有侵权，敬请联络赛迪新质生产力发展促进中心）</w:t>
      </w:r>
    </w:p>
    <w:p w14:paraId="3DFDFB59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微软雅黑" w:hAnsi="微软雅黑" w:eastAsia="微软雅黑" w:cs="微软雅黑"/>
          <w:sz w:val="28"/>
          <w:szCs w:val="28"/>
        </w:rPr>
      </w:pPr>
    </w:p>
    <w:p w14:paraId="320B7AE0">
      <w:pPr>
        <w:rPr>
          <w:rFonts w:hint="eastAsia" w:ascii="微软雅黑" w:hAnsi="微软雅黑" w:eastAsia="微软雅黑" w:cs="微软雅黑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688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2026-07-18T05:52:51Z</dcterms:created>
  <dc:creator>Administrator</dc:creator>
  <cp:lastModifiedBy>曹争鸣</cp:lastModifiedBy>
  <dcterms:modified xsi:type="dcterms:W3CDTF">2026-07-18T06:00:31Z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eyJoZGlkIjoiYzc4NmMwMGYxMjBlYzJmZmU5M2M2M2FjOTExNTM5ODgiLCJ1c2VySWQiOiIyNzQ5NjQyMjAifQ==</vt:lpwstr>
  </property>
  <property fmtid="{D5CDD505-2E9C-101B-9397-08002B2CF9AE}" pid="4" name="ICV">
    <vt:lpwstr>68FA29C7B334490B859DA3E3F8C159A9_12</vt:lpwstr>
  </property>
</Properties>
</file>