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BEA85D"/>
    <w:p w14:paraId="1C07CF8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0"/>
        <w:jc w:val="center"/>
        <w:rPr>
          <w:rFonts w:ascii="Microsoft YaHei UI" w:hAnsi="Microsoft YaHei UI" w:eastAsia="Microsoft YaHei UI" w:cs="Microsoft YaHei UI"/>
          <w:b/>
          <w:bCs/>
          <w:i w:val="0"/>
          <w:iCs w:val="0"/>
          <w:caps w:val="0"/>
          <w:spacing w:val="8"/>
          <w:sz w:val="33"/>
          <w:szCs w:val="33"/>
        </w:rPr>
      </w:pPr>
      <w:bookmarkStart w:id="0" w:name="_GoBack"/>
      <w:r>
        <w:rPr>
          <w:rFonts w:hint="eastAsia" w:ascii="Microsoft YaHei UI" w:hAnsi="Microsoft YaHei UI" w:eastAsia="Microsoft YaHei UI" w:cs="Microsoft YaHei UI"/>
          <w:b/>
          <w:bCs/>
          <w:i w:val="0"/>
          <w:iCs w:val="0"/>
          <w:caps w:val="0"/>
          <w:spacing w:val="8"/>
          <w:sz w:val="33"/>
          <w:szCs w:val="33"/>
          <w:bdr w:val="none" w:color="auto" w:sz="0" w:space="0"/>
          <w:shd w:val="clear" w:fill="FFFFFF"/>
        </w:rPr>
        <w:t>中央预算内投资项目申报指引</w:t>
      </w:r>
    </w:p>
    <w:bookmarkEnd w:id="0"/>
    <w:p w14:paraId="4EF0C95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30" w:afterAutospacing="0" w:line="300" w:lineRule="atLeast"/>
        <w:ind w:left="0" w:right="0" w:firstLine="0"/>
        <w:jc w:val="center"/>
        <w:rPr>
          <w:rFonts w:hint="default" w:ascii="Microsoft YaHei UI" w:hAnsi="Microsoft YaHei UI" w:eastAsia="Microsoft YaHei UI" w:cs="Microsoft YaHei UI"/>
          <w:i w:val="0"/>
          <w:iCs w:val="0"/>
          <w:caps w:val="0"/>
          <w:spacing w:val="8"/>
          <w:kern w:val="0"/>
          <w:sz w:val="22"/>
          <w:szCs w:val="22"/>
          <w:u w:val="none"/>
          <w:bdr w:val="none" w:color="auto" w:sz="0" w:space="0"/>
          <w:shd w:val="clear" w:fill="FFFFFF"/>
          <w:lang w:val="en-US" w:eastAsia="zh-CN" w:bidi="ar"/>
        </w:rPr>
      </w:pPr>
      <w:r>
        <w:rPr>
          <w:rFonts w:hint="eastAsia" w:ascii="Microsoft YaHei UI" w:hAnsi="Microsoft YaHei UI" w:eastAsia="Microsoft YaHei UI" w:cs="Microsoft YaHei UI"/>
          <w:i w:val="0"/>
          <w:iCs w:val="0"/>
          <w:caps w:val="0"/>
          <w:spacing w:val="8"/>
          <w:kern w:val="0"/>
          <w:sz w:val="22"/>
          <w:szCs w:val="22"/>
          <w:u w:val="none"/>
          <w:bdr w:val="none" w:color="auto" w:sz="0" w:space="0"/>
          <w:shd w:val="clear" w:fill="FFFFFF"/>
          <w:lang w:val="en-US" w:eastAsia="zh-CN" w:bidi="ar"/>
        </w:rPr>
        <w:t>资料来源于网络，仅供参考，使用时以正式文件为准</w:t>
      </w:r>
    </w:p>
    <w:p w14:paraId="7498B78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30" w:afterAutospacing="0" w:line="300" w:lineRule="atLeast"/>
        <w:ind w:left="0" w:right="0" w:firstLine="0"/>
        <w:jc w:val="center"/>
        <w:rPr>
          <w:rFonts w:hint="eastAsia" w:ascii="Microsoft YaHei UI" w:hAnsi="Microsoft YaHei UI" w:eastAsia="Microsoft YaHei UI" w:cs="Microsoft YaHei UI"/>
          <w:i w:val="0"/>
          <w:iCs w:val="0"/>
          <w:caps w:val="0"/>
          <w:spacing w:val="8"/>
          <w:sz w:val="0"/>
          <w:szCs w:val="0"/>
        </w:rPr>
      </w:pPr>
      <w:r>
        <w:rPr>
          <w:rFonts w:hint="eastAsia" w:ascii="Microsoft YaHei UI" w:hAnsi="Microsoft YaHei UI" w:eastAsia="Microsoft YaHei UI" w:cs="Microsoft YaHei UI"/>
          <w:i w:val="0"/>
          <w:iCs w:val="0"/>
          <w:caps w:val="0"/>
          <w:spacing w:val="8"/>
          <w:kern w:val="0"/>
          <w:sz w:val="22"/>
          <w:szCs w:val="22"/>
          <w:u w:val="none"/>
          <w:bdr w:val="none" w:color="auto" w:sz="0" w:space="0"/>
          <w:shd w:val="clear" w:fill="FFFFFF"/>
          <w:lang w:val="en-US" w:eastAsia="zh-CN" w:bidi="ar"/>
        </w:rPr>
        <w:t>张五侠</w:t>
      </w:r>
      <w:r>
        <w:rPr>
          <w:rFonts w:hint="eastAsia" w:ascii="Microsoft YaHei UI" w:hAnsi="Microsoft YaHei UI" w:eastAsia="Microsoft YaHei UI" w:cs="Microsoft YaHei UI"/>
          <w:i w:val="0"/>
          <w:iCs w:val="0"/>
          <w:caps w:val="0"/>
          <w:spacing w:val="8"/>
          <w:kern w:val="0"/>
          <w:sz w:val="0"/>
          <w:szCs w:val="0"/>
          <w:bdr w:val="none" w:color="auto" w:sz="0" w:space="0"/>
          <w:shd w:val="clear" w:fill="FFFFFF"/>
          <w:lang w:val="en-US" w:eastAsia="zh-CN" w:bidi="ar"/>
        </w:rPr>
        <w:t> </w:t>
      </w:r>
      <w:r>
        <w:rPr>
          <w:rStyle w:val="7"/>
          <w:rFonts w:hint="eastAsia" w:ascii="Microsoft YaHei UI" w:hAnsi="Microsoft YaHei UI" w:eastAsia="Microsoft YaHei UI" w:cs="Microsoft YaHei UI"/>
          <w:i w:val="0"/>
          <w:iCs w:val="0"/>
          <w:caps w:val="0"/>
          <w:spacing w:val="8"/>
          <w:kern w:val="0"/>
          <w:sz w:val="22"/>
          <w:szCs w:val="22"/>
          <w:bdr w:val="none" w:color="auto" w:sz="0" w:space="0"/>
          <w:shd w:val="clear" w:fill="FFFFFF"/>
          <w:lang w:val="en-US" w:eastAsia="zh-CN" w:bidi="ar"/>
        </w:rPr>
        <w:t>2026年7月15日</w:t>
      </w:r>
    </w:p>
    <w:p w14:paraId="64D7D64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Microsoft YaHei UI" w:hAnsi="Microsoft YaHei UI" w:eastAsia="Microsoft YaHei UI" w:cs="Microsoft YaHei UI"/>
          <w:i w:val="0"/>
          <w:iCs w:val="0"/>
          <w:caps w:val="0"/>
          <w:spacing w:val="8"/>
          <w:bdr w:val="none" w:color="auto" w:sz="0" w:space="0"/>
          <w:shd w:val="clear" w:fill="FFFFFF"/>
        </w:rPr>
      </w:pPr>
      <w:r>
        <w:rPr>
          <w:rFonts w:hint="eastAsia" w:ascii="Microsoft YaHei UI" w:hAnsi="Microsoft YaHei UI" w:eastAsia="Microsoft YaHei UI" w:cs="Microsoft YaHei UI"/>
          <w:i w:val="0"/>
          <w:iCs w:val="0"/>
          <w:caps w:val="0"/>
          <w:spacing w:val="8"/>
          <w:bdr w:val="none" w:color="auto" w:sz="0" w:space="0"/>
          <w:shd w:val="clear" w:fill="FFFFFF"/>
        </w:rPr>
        <w:t>中央预算内投资是稳定经济增长、补齐领域短板的核心政策资金工具，申报工作须严格对标各专项国家级管理办法，确保合规性与精准度。以下以表格形式汇总 23 个专项的国家级政策法规依据、支持方向、补助标准与核心申报条件，为项目谋划与对上争取提供清晰参照。</w:t>
      </w:r>
    </w:p>
    <w:p w14:paraId="4D46B7D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Microsoft YaHei UI" w:hAnsi="Microsoft YaHei UI" w:eastAsia="Microsoft YaHei UI" w:cs="Microsoft YaHei UI"/>
          <w:b/>
          <w:bCs/>
          <w:i w:val="0"/>
          <w:iCs w:val="0"/>
          <w:caps w:val="0"/>
          <w:spacing w:val="8"/>
          <w:kern w:val="44"/>
          <w:sz w:val="33"/>
          <w:szCs w:val="33"/>
          <w:shd w:val="clear" w:fill="FFFFFF"/>
          <w:lang w:val="en-US" w:eastAsia="zh-CN" w:bidi="ar"/>
        </w:rPr>
      </w:pPr>
    </w:p>
    <w:p w14:paraId="38DC6FA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Microsoft YaHei UI" w:hAnsi="Microsoft YaHei UI" w:eastAsia="Microsoft YaHei UI" w:cs="Microsoft YaHei UI"/>
          <w:b/>
          <w:bCs/>
          <w:i w:val="0"/>
          <w:iCs w:val="0"/>
          <w:caps w:val="0"/>
          <w:spacing w:val="8"/>
          <w:kern w:val="44"/>
          <w:sz w:val="33"/>
          <w:szCs w:val="33"/>
          <w:shd w:val="clear" w:fill="FFFFFF"/>
          <w:lang w:val="en-US" w:eastAsia="zh-CN" w:bidi="ar"/>
        </w:rPr>
      </w:pPr>
      <w:r>
        <w:rPr>
          <w:rFonts w:hint="eastAsia" w:ascii="Microsoft YaHei UI" w:hAnsi="Microsoft YaHei UI" w:eastAsia="Microsoft YaHei UI" w:cs="Microsoft YaHei UI"/>
          <w:b/>
          <w:bCs/>
          <w:i w:val="0"/>
          <w:iCs w:val="0"/>
          <w:caps w:val="0"/>
          <w:spacing w:val="8"/>
          <w:kern w:val="44"/>
          <w:sz w:val="33"/>
          <w:szCs w:val="33"/>
          <w:shd w:val="clear" w:fill="FFFFFF"/>
          <w:lang w:val="en-US" w:eastAsia="zh-CN" w:bidi="ar"/>
        </w:rPr>
        <w:t>一、23 个专项申报核心要素</w:t>
      </w:r>
    </w:p>
    <w:p w14:paraId="7DECCB23">
      <w:pPr>
        <w:rPr>
          <w:vanish/>
          <w:sz w:val="24"/>
          <w:szCs w:val="24"/>
        </w:rPr>
      </w:pPr>
    </w:p>
    <w:tbl>
      <w:tblPr>
        <w:tblW w:w="1391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009"/>
        <w:gridCol w:w="3552"/>
        <w:gridCol w:w="3426"/>
        <w:gridCol w:w="2561"/>
        <w:gridCol w:w="2363"/>
      </w:tblGrid>
      <w:tr w14:paraId="451DC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722" w:type="pct"/>
            <w:tcBorders>
              <w:top w:val="single" w:color="000000" w:sz="6" w:space="0"/>
              <w:left w:val="single" w:color="000000" w:sz="6" w:space="0"/>
              <w:bottom w:val="single" w:color="000000" w:sz="6" w:space="0"/>
              <w:right w:val="single" w:color="000000" w:sz="6" w:space="0"/>
            </w:tcBorders>
            <w:shd w:val="clear" w:color="auto" w:fill="003783"/>
            <w:vAlign w:val="center"/>
          </w:tcPr>
          <w:p w14:paraId="127AC7F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sz w:val="22"/>
                <w:szCs w:val="22"/>
              </w:rPr>
            </w:pPr>
            <w:r>
              <w:rPr>
                <w:rStyle w:val="6"/>
                <w:sz w:val="22"/>
                <w:szCs w:val="22"/>
                <w:bdr w:val="none" w:color="auto" w:sz="0" w:space="0"/>
              </w:rPr>
              <w:t>专项名称</w:t>
            </w:r>
          </w:p>
        </w:tc>
        <w:tc>
          <w:tcPr>
            <w:tcW w:w="1276" w:type="pct"/>
            <w:tcBorders>
              <w:top w:val="single" w:color="3E3E3E" w:sz="6" w:space="0"/>
              <w:left w:val="single" w:color="3E3E3E" w:sz="6" w:space="0"/>
              <w:bottom w:val="single" w:color="3E3E3E" w:sz="6" w:space="0"/>
              <w:right w:val="single" w:color="3E3E3E" w:sz="6" w:space="0"/>
            </w:tcBorders>
            <w:shd w:val="clear" w:color="auto" w:fill="003783"/>
            <w:vAlign w:val="center"/>
          </w:tcPr>
          <w:p w14:paraId="12D9E8A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sz w:val="22"/>
                <w:szCs w:val="22"/>
              </w:rPr>
            </w:pPr>
            <w:r>
              <w:rPr>
                <w:rStyle w:val="6"/>
                <w:sz w:val="22"/>
                <w:szCs w:val="22"/>
                <w:bdr w:val="none" w:color="auto" w:sz="0" w:space="0"/>
              </w:rPr>
              <w:t>政策法规依据</w:t>
            </w:r>
          </w:p>
        </w:tc>
        <w:tc>
          <w:tcPr>
            <w:tcW w:w="1231" w:type="pct"/>
            <w:tcBorders>
              <w:top w:val="single" w:color="3E3E3E" w:sz="6" w:space="0"/>
              <w:left w:val="single" w:color="3E3E3E" w:sz="6" w:space="0"/>
              <w:bottom w:val="single" w:color="3E3E3E" w:sz="6" w:space="0"/>
              <w:right w:val="single" w:color="3E3E3E" w:sz="6" w:space="0"/>
            </w:tcBorders>
            <w:shd w:val="clear" w:color="auto" w:fill="003783"/>
            <w:vAlign w:val="center"/>
          </w:tcPr>
          <w:p w14:paraId="686B666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sz w:val="22"/>
                <w:szCs w:val="22"/>
              </w:rPr>
            </w:pPr>
            <w:r>
              <w:rPr>
                <w:rStyle w:val="6"/>
                <w:sz w:val="22"/>
                <w:szCs w:val="22"/>
                <w:bdr w:val="none" w:color="auto" w:sz="0" w:space="0"/>
              </w:rPr>
              <w:t>核心支持方向</w:t>
            </w:r>
          </w:p>
        </w:tc>
        <w:tc>
          <w:tcPr>
            <w:tcW w:w="920" w:type="pct"/>
            <w:tcBorders>
              <w:top w:val="single" w:color="3E3E3E" w:sz="6" w:space="0"/>
              <w:left w:val="single" w:color="3E3E3E" w:sz="6" w:space="0"/>
              <w:bottom w:val="single" w:color="3E3E3E" w:sz="6" w:space="0"/>
              <w:right w:val="single" w:color="3E3E3E" w:sz="6" w:space="0"/>
            </w:tcBorders>
            <w:shd w:val="clear" w:color="auto" w:fill="003783"/>
            <w:vAlign w:val="center"/>
          </w:tcPr>
          <w:p w14:paraId="2C2E5A6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sz w:val="22"/>
                <w:szCs w:val="22"/>
              </w:rPr>
            </w:pPr>
            <w:r>
              <w:rPr>
                <w:rStyle w:val="6"/>
                <w:sz w:val="22"/>
                <w:szCs w:val="22"/>
                <w:bdr w:val="none" w:color="auto" w:sz="0" w:space="0"/>
              </w:rPr>
              <w:t>补助标准</w:t>
            </w:r>
          </w:p>
        </w:tc>
        <w:tc>
          <w:tcPr>
            <w:tcW w:w="849" w:type="pct"/>
            <w:tcBorders>
              <w:top w:val="single" w:color="3E3E3E" w:sz="6" w:space="0"/>
              <w:left w:val="single" w:color="3E3E3E" w:sz="6" w:space="0"/>
              <w:bottom w:val="single" w:color="3E3E3E" w:sz="6" w:space="0"/>
              <w:right w:val="single" w:color="3E3E3E" w:sz="6" w:space="0"/>
            </w:tcBorders>
            <w:shd w:val="clear" w:color="auto" w:fill="003783"/>
            <w:vAlign w:val="center"/>
          </w:tcPr>
          <w:p w14:paraId="5A548F2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sz w:val="22"/>
                <w:szCs w:val="22"/>
              </w:rPr>
            </w:pPr>
            <w:r>
              <w:rPr>
                <w:rStyle w:val="6"/>
                <w:sz w:val="22"/>
                <w:szCs w:val="22"/>
                <w:bdr w:val="none" w:color="auto" w:sz="0" w:space="0"/>
              </w:rPr>
              <w:t>核心申报条件</w:t>
            </w:r>
          </w:p>
        </w:tc>
      </w:tr>
      <w:tr w14:paraId="60136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722" w:type="pct"/>
            <w:tcBorders>
              <w:top w:val="single" w:color="3E3E3E" w:sz="6" w:space="0"/>
              <w:left w:val="single" w:color="3E3E3E" w:sz="6" w:space="0"/>
              <w:bottom w:val="single" w:color="3E3E3E" w:sz="6" w:space="0"/>
              <w:right w:val="single" w:color="3E3E3E" w:sz="6" w:space="0"/>
            </w:tcBorders>
            <w:shd w:val="clear"/>
            <w:vAlign w:val="center"/>
          </w:tcPr>
          <w:p w14:paraId="483FFF8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铁路专项</w:t>
            </w:r>
          </w:p>
        </w:tc>
        <w:tc>
          <w:tcPr>
            <w:tcW w:w="1276" w:type="pct"/>
            <w:tcBorders>
              <w:top w:val="single" w:color="3E3E3E" w:sz="6" w:space="0"/>
              <w:left w:val="single" w:color="3E3E3E" w:sz="6" w:space="0"/>
              <w:bottom w:val="single" w:color="3E3E3E" w:sz="6" w:space="0"/>
              <w:right w:val="single" w:color="3E3E3E" w:sz="6" w:space="0"/>
            </w:tcBorders>
            <w:shd w:val="clear"/>
            <w:vAlign w:val="center"/>
          </w:tcPr>
          <w:p w14:paraId="1AA3C43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《铁路项目中央预算内投资专项管理办法》（发改基础规〔2023〕1761号）</w:t>
            </w:r>
          </w:p>
        </w:tc>
        <w:tc>
          <w:tcPr>
            <w:tcW w:w="1231" w:type="pct"/>
            <w:tcBorders>
              <w:top w:val="single" w:color="3E3E3E" w:sz="6" w:space="0"/>
              <w:left w:val="single" w:color="3E3E3E" w:sz="6" w:space="0"/>
              <w:bottom w:val="single" w:color="3E3E3E" w:sz="6" w:space="0"/>
              <w:right w:val="single" w:color="3E3E3E" w:sz="6" w:space="0"/>
            </w:tcBorders>
            <w:shd w:val="clear"/>
            <w:vAlign w:val="center"/>
          </w:tcPr>
          <w:p w14:paraId="57F6283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中西部干线铁路、重点城市群城际铁路、铁路货运能力提升、中欧班列基础设施提级改造</w:t>
            </w:r>
          </w:p>
        </w:tc>
        <w:tc>
          <w:tcPr>
            <w:tcW w:w="920" w:type="pct"/>
            <w:tcBorders>
              <w:top w:val="single" w:color="3E3E3E" w:sz="6" w:space="0"/>
              <w:left w:val="single" w:color="3E3E3E" w:sz="6" w:space="0"/>
              <w:bottom w:val="single" w:color="3E3E3E" w:sz="6" w:space="0"/>
              <w:right w:val="single" w:color="3E3E3E" w:sz="6" w:space="0"/>
            </w:tcBorders>
            <w:shd w:val="clear"/>
            <w:vAlign w:val="center"/>
          </w:tcPr>
          <w:p w14:paraId="0B49C98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干线铁路不超资本金30%；城际铁路不超15%；货运/口岸改造不超20%</w:t>
            </w:r>
          </w:p>
        </w:tc>
        <w:tc>
          <w:tcPr>
            <w:tcW w:w="849" w:type="pct"/>
            <w:tcBorders>
              <w:top w:val="single" w:color="3E3E3E" w:sz="6" w:space="0"/>
              <w:left w:val="single" w:color="3E3E3E" w:sz="6" w:space="0"/>
              <w:bottom w:val="single" w:color="3E3E3E" w:sz="6" w:space="0"/>
              <w:right w:val="single" w:color="3E3E3E" w:sz="6" w:space="0"/>
            </w:tcBorders>
            <w:shd w:val="clear"/>
            <w:vAlign w:val="center"/>
          </w:tcPr>
          <w:p w14:paraId="6252BD1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符合国家中长期铁路网规划、五年发展规划及专项规划</w:t>
            </w:r>
          </w:p>
        </w:tc>
      </w:tr>
      <w:tr w14:paraId="58AC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722" w:type="pct"/>
            <w:tcBorders>
              <w:top w:val="single" w:color="3E3E3E" w:sz="6" w:space="0"/>
              <w:left w:val="single" w:color="3E3E3E" w:sz="6" w:space="0"/>
              <w:bottom w:val="single" w:color="3E3E3E" w:sz="6" w:space="0"/>
              <w:right w:val="single" w:color="3E3E3E" w:sz="6" w:space="0"/>
            </w:tcBorders>
            <w:shd w:val="clear"/>
            <w:vAlign w:val="center"/>
          </w:tcPr>
          <w:p w14:paraId="03A10C0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水运专项</w:t>
            </w:r>
          </w:p>
        </w:tc>
        <w:tc>
          <w:tcPr>
            <w:tcW w:w="1276" w:type="pct"/>
            <w:tcBorders>
              <w:top w:val="single" w:color="3E3E3E" w:sz="6" w:space="0"/>
              <w:left w:val="single" w:color="3E3E3E" w:sz="6" w:space="0"/>
              <w:bottom w:val="single" w:color="3E3E3E" w:sz="6" w:space="0"/>
              <w:right w:val="single" w:color="3E3E3E" w:sz="6" w:space="0"/>
            </w:tcBorders>
            <w:shd w:val="clear"/>
            <w:vAlign w:val="center"/>
          </w:tcPr>
          <w:p w14:paraId="21EBD83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《水运中央预算内投资专项管理办法》（发改基础规〔2024〕306号）</w:t>
            </w:r>
          </w:p>
        </w:tc>
        <w:tc>
          <w:tcPr>
            <w:tcW w:w="1231" w:type="pct"/>
            <w:tcBorders>
              <w:top w:val="single" w:color="3E3E3E" w:sz="6" w:space="0"/>
              <w:left w:val="single" w:color="3E3E3E" w:sz="6" w:space="0"/>
              <w:bottom w:val="single" w:color="3E3E3E" w:sz="6" w:space="0"/>
              <w:right w:val="single" w:color="3E3E3E" w:sz="6" w:space="0"/>
            </w:tcBorders>
            <w:shd w:val="clear"/>
            <w:vAlign w:val="center"/>
          </w:tcPr>
          <w:p w14:paraId="6660B06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内河高等级航道整治、通航建筑物、航电枢纽、沿海港口公益性基础设施、长江船舶受电设施</w:t>
            </w:r>
          </w:p>
        </w:tc>
        <w:tc>
          <w:tcPr>
            <w:tcW w:w="920" w:type="pct"/>
            <w:tcBorders>
              <w:top w:val="single" w:color="3E3E3E" w:sz="6" w:space="0"/>
              <w:left w:val="single" w:color="3E3E3E" w:sz="6" w:space="0"/>
              <w:bottom w:val="single" w:color="3E3E3E" w:sz="6" w:space="0"/>
              <w:right w:val="single" w:color="3E3E3E" w:sz="6" w:space="0"/>
            </w:tcBorders>
            <w:shd w:val="clear"/>
            <w:vAlign w:val="center"/>
          </w:tcPr>
          <w:p w14:paraId="21968BC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按项目优先级统筹安排</w:t>
            </w:r>
          </w:p>
        </w:tc>
        <w:tc>
          <w:tcPr>
            <w:tcW w:w="849" w:type="pct"/>
            <w:tcBorders>
              <w:top w:val="single" w:color="3E3E3E" w:sz="6" w:space="0"/>
              <w:left w:val="single" w:color="3E3E3E" w:sz="6" w:space="0"/>
              <w:bottom w:val="single" w:color="3E3E3E" w:sz="6" w:space="0"/>
              <w:right w:val="single" w:color="3E3E3E" w:sz="6" w:space="0"/>
            </w:tcBorders>
            <w:shd w:val="clear"/>
            <w:vAlign w:val="center"/>
          </w:tcPr>
          <w:p w14:paraId="2D9F08F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列入全国内河航道与港口布局等国家级行业规划</w:t>
            </w:r>
          </w:p>
        </w:tc>
      </w:tr>
      <w:tr w14:paraId="5FB64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722" w:type="pct"/>
            <w:tcBorders>
              <w:top w:val="single" w:color="3E3E3E" w:sz="6" w:space="0"/>
              <w:left w:val="single" w:color="3E3E3E" w:sz="6" w:space="0"/>
              <w:bottom w:val="single" w:color="3E3E3E" w:sz="6" w:space="0"/>
              <w:right w:val="single" w:color="3E3E3E" w:sz="6" w:space="0"/>
            </w:tcBorders>
            <w:shd w:val="clear"/>
            <w:vAlign w:val="center"/>
          </w:tcPr>
          <w:p w14:paraId="3BAEB57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水利专项</w:t>
            </w:r>
          </w:p>
        </w:tc>
        <w:tc>
          <w:tcPr>
            <w:tcW w:w="1276" w:type="pct"/>
            <w:tcBorders>
              <w:top w:val="single" w:color="3E3E3E" w:sz="6" w:space="0"/>
              <w:left w:val="single" w:color="3E3E3E" w:sz="6" w:space="0"/>
              <w:bottom w:val="single" w:color="3E3E3E" w:sz="6" w:space="0"/>
              <w:right w:val="single" w:color="3E3E3E" w:sz="6" w:space="0"/>
            </w:tcBorders>
            <w:shd w:val="clear"/>
            <w:vAlign w:val="center"/>
          </w:tcPr>
          <w:p w14:paraId="0EAFDB5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《水利中央预算内投资专项管理办法》（发改农经规〔2024〕1761号）</w:t>
            </w:r>
          </w:p>
        </w:tc>
        <w:tc>
          <w:tcPr>
            <w:tcW w:w="1231" w:type="pct"/>
            <w:tcBorders>
              <w:top w:val="single" w:color="3E3E3E" w:sz="6" w:space="0"/>
              <w:left w:val="single" w:color="3E3E3E" w:sz="6" w:space="0"/>
              <w:bottom w:val="single" w:color="3E3E3E" w:sz="6" w:space="0"/>
              <w:right w:val="single" w:color="3E3E3E" w:sz="6" w:space="0"/>
            </w:tcBorders>
            <w:shd w:val="clear"/>
            <w:vAlign w:val="center"/>
          </w:tcPr>
          <w:p w14:paraId="1D2E24E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蓄滞洪区建设、病险水库/水闸除险加固、江河防洪治理、水生态治理</w:t>
            </w:r>
          </w:p>
        </w:tc>
        <w:tc>
          <w:tcPr>
            <w:tcW w:w="920" w:type="pct"/>
            <w:tcBorders>
              <w:top w:val="single" w:color="3E3E3E" w:sz="6" w:space="0"/>
              <w:left w:val="single" w:color="3E3E3E" w:sz="6" w:space="0"/>
              <w:bottom w:val="single" w:color="3E3E3E" w:sz="6" w:space="0"/>
              <w:right w:val="single" w:color="3E3E3E" w:sz="6" w:space="0"/>
            </w:tcBorders>
            <w:shd w:val="clear"/>
            <w:vAlign w:val="center"/>
          </w:tcPr>
          <w:p w14:paraId="1F0CAE4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重点领域70%；防洪排涝60%；水生态治理50%</w:t>
            </w:r>
          </w:p>
        </w:tc>
        <w:tc>
          <w:tcPr>
            <w:tcW w:w="849" w:type="pct"/>
            <w:tcBorders>
              <w:top w:val="single" w:color="3E3E3E" w:sz="6" w:space="0"/>
              <w:left w:val="single" w:color="3E3E3E" w:sz="6" w:space="0"/>
              <w:bottom w:val="single" w:color="3E3E3E" w:sz="6" w:space="0"/>
              <w:right w:val="single" w:color="3E3E3E" w:sz="6" w:space="0"/>
            </w:tcBorders>
            <w:shd w:val="clear"/>
            <w:vAlign w:val="center"/>
          </w:tcPr>
          <w:p w14:paraId="5D0BF04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中小河流治理需满足流域面积要求，符合水利专项规划</w:t>
            </w:r>
          </w:p>
        </w:tc>
      </w:tr>
      <w:tr w14:paraId="20777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722" w:type="pct"/>
            <w:tcBorders>
              <w:top w:val="single" w:color="3E3E3E" w:sz="6" w:space="0"/>
              <w:left w:val="single" w:color="3E3E3E" w:sz="6" w:space="0"/>
              <w:bottom w:val="single" w:color="3E3E3E" w:sz="6" w:space="0"/>
              <w:right w:val="single" w:color="3E3E3E" w:sz="6" w:space="0"/>
            </w:tcBorders>
            <w:shd w:val="clear"/>
            <w:vAlign w:val="center"/>
          </w:tcPr>
          <w:p w14:paraId="786EC6E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气象基础设施专项</w:t>
            </w:r>
          </w:p>
        </w:tc>
        <w:tc>
          <w:tcPr>
            <w:tcW w:w="1276" w:type="pct"/>
            <w:tcBorders>
              <w:top w:val="single" w:color="3E3E3E" w:sz="6" w:space="0"/>
              <w:left w:val="single" w:color="3E3E3E" w:sz="6" w:space="0"/>
              <w:bottom w:val="single" w:color="3E3E3E" w:sz="6" w:space="0"/>
              <w:right w:val="single" w:color="3E3E3E" w:sz="6" w:space="0"/>
            </w:tcBorders>
            <w:shd w:val="clear"/>
            <w:vAlign w:val="center"/>
          </w:tcPr>
          <w:p w14:paraId="4D21D77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《气象基础设施中央预算内投资专项管理办法》（发改农经规〔2022〕392号）</w:t>
            </w:r>
          </w:p>
        </w:tc>
        <w:tc>
          <w:tcPr>
            <w:tcW w:w="1231" w:type="pct"/>
            <w:tcBorders>
              <w:top w:val="single" w:color="3E3E3E" w:sz="6" w:space="0"/>
              <w:left w:val="single" w:color="3E3E3E" w:sz="6" w:space="0"/>
              <w:bottom w:val="single" w:color="3E3E3E" w:sz="6" w:space="0"/>
              <w:right w:val="single" w:color="3E3E3E" w:sz="6" w:space="0"/>
            </w:tcBorders>
            <w:shd w:val="clear"/>
            <w:vAlign w:val="center"/>
          </w:tcPr>
          <w:p w14:paraId="6CB13D1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气象卫星、人工影响天气工程、气象雷达、观测站网、灾害预警、基层台站提升</w:t>
            </w:r>
          </w:p>
        </w:tc>
        <w:tc>
          <w:tcPr>
            <w:tcW w:w="920" w:type="pct"/>
            <w:tcBorders>
              <w:top w:val="single" w:color="3E3E3E" w:sz="6" w:space="0"/>
              <w:left w:val="single" w:color="3E3E3E" w:sz="6" w:space="0"/>
              <w:bottom w:val="single" w:color="3E3E3E" w:sz="6" w:space="0"/>
              <w:right w:val="single" w:color="3E3E3E" w:sz="6" w:space="0"/>
            </w:tcBorders>
            <w:shd w:val="clear"/>
            <w:vAlign w:val="center"/>
          </w:tcPr>
          <w:p w14:paraId="483E18E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按项目类型核定</w:t>
            </w:r>
          </w:p>
        </w:tc>
        <w:tc>
          <w:tcPr>
            <w:tcW w:w="849" w:type="pct"/>
            <w:tcBorders>
              <w:top w:val="single" w:color="3E3E3E" w:sz="6" w:space="0"/>
              <w:left w:val="single" w:color="3E3E3E" w:sz="6" w:space="0"/>
              <w:bottom w:val="single" w:color="3E3E3E" w:sz="6" w:space="0"/>
              <w:right w:val="single" w:color="3E3E3E" w:sz="6" w:space="0"/>
            </w:tcBorders>
            <w:shd w:val="clear"/>
            <w:vAlign w:val="center"/>
          </w:tcPr>
          <w:p w14:paraId="38608AA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纳入气象领域国家级专项规划，对应层级气象部门实施</w:t>
            </w:r>
          </w:p>
        </w:tc>
      </w:tr>
      <w:tr w14:paraId="33C23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722" w:type="pct"/>
            <w:tcBorders>
              <w:top w:val="single" w:color="3E3E3E" w:sz="6" w:space="0"/>
              <w:left w:val="single" w:color="3E3E3E" w:sz="6" w:space="0"/>
              <w:bottom w:val="single" w:color="3E3E3E" w:sz="6" w:space="0"/>
              <w:right w:val="single" w:color="3E3E3E" w:sz="6" w:space="0"/>
            </w:tcBorders>
            <w:shd w:val="clear"/>
            <w:vAlign w:val="center"/>
          </w:tcPr>
          <w:p w14:paraId="0858A26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城乡冷链和国家物流枢纽建设专项</w:t>
            </w:r>
          </w:p>
        </w:tc>
        <w:tc>
          <w:tcPr>
            <w:tcW w:w="1276" w:type="pct"/>
            <w:tcBorders>
              <w:top w:val="single" w:color="3E3E3E" w:sz="6" w:space="0"/>
              <w:left w:val="single" w:color="3E3E3E" w:sz="6" w:space="0"/>
              <w:bottom w:val="single" w:color="3E3E3E" w:sz="6" w:space="0"/>
              <w:right w:val="single" w:color="3E3E3E" w:sz="6" w:space="0"/>
            </w:tcBorders>
            <w:shd w:val="clear"/>
            <w:vAlign w:val="center"/>
          </w:tcPr>
          <w:p w14:paraId="0879A97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《城乡冷链和国家物流枢纽建设中央预算内投资专项管理办法》（发改经贸规〔2023〕1753号）</w:t>
            </w:r>
          </w:p>
        </w:tc>
        <w:tc>
          <w:tcPr>
            <w:tcW w:w="1231" w:type="pct"/>
            <w:tcBorders>
              <w:top w:val="single" w:color="3E3E3E" w:sz="6" w:space="0"/>
              <w:left w:val="single" w:color="3E3E3E" w:sz="6" w:space="0"/>
              <w:bottom w:val="single" w:color="3E3E3E" w:sz="6" w:space="0"/>
              <w:right w:val="single" w:color="3E3E3E" w:sz="6" w:space="0"/>
            </w:tcBorders>
            <w:shd w:val="clear"/>
            <w:vAlign w:val="center"/>
          </w:tcPr>
          <w:p w14:paraId="5FD19FF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物流枢纽补短板、公共冷库、冷链集配中心、城郊大仓；2025年重点支持2万m³以上冷库</w:t>
            </w:r>
          </w:p>
        </w:tc>
        <w:tc>
          <w:tcPr>
            <w:tcW w:w="920" w:type="pct"/>
            <w:tcBorders>
              <w:top w:val="single" w:color="3E3E3E" w:sz="6" w:space="0"/>
              <w:left w:val="single" w:color="3E3E3E" w:sz="6" w:space="0"/>
              <w:bottom w:val="single" w:color="3E3E3E" w:sz="6" w:space="0"/>
              <w:right w:val="single" w:color="3E3E3E" w:sz="6" w:space="0"/>
            </w:tcBorders>
            <w:shd w:val="clear"/>
            <w:vAlign w:val="center"/>
          </w:tcPr>
          <w:p w14:paraId="0713FB3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不超项目核定投资30%</w:t>
            </w:r>
          </w:p>
        </w:tc>
        <w:tc>
          <w:tcPr>
            <w:tcW w:w="849" w:type="pct"/>
            <w:tcBorders>
              <w:top w:val="single" w:color="3E3E3E" w:sz="6" w:space="0"/>
              <w:left w:val="single" w:color="3E3E3E" w:sz="6" w:space="0"/>
              <w:bottom w:val="single" w:color="3E3E3E" w:sz="6" w:space="0"/>
              <w:right w:val="single" w:color="3E3E3E" w:sz="6" w:space="0"/>
            </w:tcBorders>
            <w:shd w:val="clear"/>
            <w:vAlign w:val="center"/>
          </w:tcPr>
          <w:p w14:paraId="2AFB242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纳入年度建设名单的国家级物流枢纽、冷链基地范围内</w:t>
            </w:r>
          </w:p>
        </w:tc>
      </w:tr>
      <w:tr w14:paraId="5A716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722" w:type="pct"/>
            <w:tcBorders>
              <w:top w:val="single" w:color="3E3E3E" w:sz="6" w:space="0"/>
              <w:left w:val="single" w:color="3E3E3E" w:sz="6" w:space="0"/>
              <w:bottom w:val="single" w:color="3E3E3E" w:sz="6" w:space="0"/>
              <w:right w:val="single" w:color="3E3E3E" w:sz="6" w:space="0"/>
            </w:tcBorders>
            <w:shd w:val="clear"/>
            <w:vAlign w:val="center"/>
          </w:tcPr>
          <w:p w14:paraId="0C7082B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防灾减灾能力提升专项</w:t>
            </w:r>
          </w:p>
        </w:tc>
        <w:tc>
          <w:tcPr>
            <w:tcW w:w="1276" w:type="pct"/>
            <w:tcBorders>
              <w:top w:val="single" w:color="3E3E3E" w:sz="6" w:space="0"/>
              <w:left w:val="single" w:color="3E3E3E" w:sz="6" w:space="0"/>
              <w:bottom w:val="single" w:color="3E3E3E" w:sz="6" w:space="0"/>
              <w:right w:val="single" w:color="3E3E3E" w:sz="6" w:space="0"/>
            </w:tcBorders>
            <w:shd w:val="clear"/>
            <w:vAlign w:val="center"/>
          </w:tcPr>
          <w:p w14:paraId="172FC65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灾后恢复重建和综合防灾减灾能力建设中央预算内投资专项管理办法》（发改投资规〔2021〕675号）；《防灾减灾救灾能力提升（应急救援及安全生产方向）中央预算内投资专项管理办法》（发改投资规〔2024〕1025号）</w:t>
            </w:r>
          </w:p>
        </w:tc>
        <w:tc>
          <w:tcPr>
            <w:tcW w:w="1231" w:type="pct"/>
            <w:tcBorders>
              <w:top w:val="single" w:color="3E3E3E" w:sz="6" w:space="0"/>
              <w:left w:val="single" w:color="3E3E3E" w:sz="6" w:space="0"/>
              <w:bottom w:val="single" w:color="3E3E3E" w:sz="6" w:space="0"/>
              <w:right w:val="single" w:color="3E3E3E" w:sz="6" w:space="0"/>
            </w:tcBorders>
            <w:shd w:val="clear"/>
            <w:vAlign w:val="center"/>
          </w:tcPr>
          <w:p w14:paraId="4818C27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灾后恢复重建、救灾物资储备库、应急救援中心、安全生产监管、水上交通安全保障</w:t>
            </w:r>
          </w:p>
        </w:tc>
        <w:tc>
          <w:tcPr>
            <w:tcW w:w="920" w:type="pct"/>
            <w:tcBorders>
              <w:top w:val="single" w:color="3E3E3E" w:sz="6" w:space="0"/>
              <w:left w:val="single" w:color="3E3E3E" w:sz="6" w:space="0"/>
              <w:bottom w:val="single" w:color="3E3E3E" w:sz="6" w:space="0"/>
              <w:right w:val="single" w:color="3E3E3E" w:sz="6" w:space="0"/>
            </w:tcBorders>
            <w:shd w:val="clear"/>
            <w:vAlign w:val="center"/>
          </w:tcPr>
          <w:p w14:paraId="2D44A71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按项目类型核定</w:t>
            </w:r>
          </w:p>
        </w:tc>
        <w:tc>
          <w:tcPr>
            <w:tcW w:w="849" w:type="pct"/>
            <w:tcBorders>
              <w:top w:val="single" w:color="3E3E3E" w:sz="6" w:space="0"/>
              <w:left w:val="single" w:color="3E3E3E" w:sz="6" w:space="0"/>
              <w:bottom w:val="single" w:color="3E3E3E" w:sz="6" w:space="0"/>
              <w:right w:val="single" w:color="3E3E3E" w:sz="6" w:space="0"/>
            </w:tcBorders>
            <w:shd w:val="clear"/>
            <w:vAlign w:val="center"/>
          </w:tcPr>
          <w:p w14:paraId="7F7BC5D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纳入应急、交通相关规划，多灾易灾地区优先支持</w:t>
            </w:r>
          </w:p>
        </w:tc>
      </w:tr>
      <w:tr w14:paraId="083CF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722" w:type="pct"/>
            <w:tcBorders>
              <w:top w:val="single" w:color="3E3E3E" w:sz="6" w:space="0"/>
              <w:left w:val="single" w:color="3E3E3E" w:sz="6" w:space="0"/>
              <w:bottom w:val="single" w:color="3E3E3E" w:sz="6" w:space="0"/>
              <w:right w:val="single" w:color="3E3E3E" w:sz="6" w:space="0"/>
            </w:tcBorders>
            <w:shd w:val="clear"/>
            <w:vAlign w:val="center"/>
          </w:tcPr>
          <w:p w14:paraId="3FEFC78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城市地下管网及设施专项</w:t>
            </w:r>
          </w:p>
        </w:tc>
        <w:tc>
          <w:tcPr>
            <w:tcW w:w="1276" w:type="pct"/>
            <w:tcBorders>
              <w:top w:val="single" w:color="3E3E3E" w:sz="6" w:space="0"/>
              <w:left w:val="single" w:color="3E3E3E" w:sz="6" w:space="0"/>
              <w:bottom w:val="single" w:color="3E3E3E" w:sz="6" w:space="0"/>
              <w:right w:val="single" w:color="3E3E3E" w:sz="6" w:space="0"/>
            </w:tcBorders>
            <w:shd w:val="clear"/>
            <w:vAlign w:val="center"/>
          </w:tcPr>
          <w:p w14:paraId="18B96DB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《城市地下管网及设施中央预算内投资专项管理办法》</w:t>
            </w:r>
          </w:p>
        </w:tc>
        <w:tc>
          <w:tcPr>
            <w:tcW w:w="1231" w:type="pct"/>
            <w:tcBorders>
              <w:top w:val="single" w:color="3E3E3E" w:sz="6" w:space="0"/>
              <w:left w:val="single" w:color="3E3E3E" w:sz="6" w:space="0"/>
              <w:bottom w:val="single" w:color="3E3E3E" w:sz="6" w:space="0"/>
              <w:right w:val="single" w:color="3E3E3E" w:sz="6" w:space="0"/>
            </w:tcBorders>
            <w:shd w:val="clear"/>
            <w:vAlign w:val="center"/>
          </w:tcPr>
          <w:p w14:paraId="44BEDE0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燃气供热管道更新改造、排水防涝设施建设、供水管网漏损治理与智能化改造</w:t>
            </w:r>
          </w:p>
        </w:tc>
        <w:tc>
          <w:tcPr>
            <w:tcW w:w="920" w:type="pct"/>
            <w:tcBorders>
              <w:top w:val="single" w:color="3E3E3E" w:sz="6" w:space="0"/>
              <w:left w:val="single" w:color="3E3E3E" w:sz="6" w:space="0"/>
              <w:bottom w:val="single" w:color="3E3E3E" w:sz="6" w:space="0"/>
              <w:right w:val="single" w:color="3E3E3E" w:sz="6" w:space="0"/>
            </w:tcBorders>
            <w:shd w:val="clear"/>
            <w:vAlign w:val="center"/>
          </w:tcPr>
          <w:p w14:paraId="28A19C4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按项目内容核定</w:t>
            </w:r>
          </w:p>
        </w:tc>
        <w:tc>
          <w:tcPr>
            <w:tcW w:w="849" w:type="pct"/>
            <w:tcBorders>
              <w:top w:val="single" w:color="3E3E3E" w:sz="6" w:space="0"/>
              <w:left w:val="single" w:color="3E3E3E" w:sz="6" w:space="0"/>
              <w:bottom w:val="single" w:color="3E3E3E" w:sz="6" w:space="0"/>
              <w:right w:val="single" w:color="3E3E3E" w:sz="6" w:space="0"/>
            </w:tcBorders>
            <w:shd w:val="clear"/>
            <w:vAlign w:val="center"/>
          </w:tcPr>
          <w:p w14:paraId="3A5C7C6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纳入住建部门《城市地下管网管廊及设施建设改造实施方案》</w:t>
            </w:r>
          </w:p>
        </w:tc>
      </w:tr>
      <w:tr w14:paraId="49F00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722" w:type="pct"/>
            <w:tcBorders>
              <w:top w:val="single" w:color="3E3E3E" w:sz="6" w:space="0"/>
              <w:left w:val="single" w:color="3E3E3E" w:sz="6" w:space="0"/>
              <w:bottom w:val="single" w:color="3E3E3E" w:sz="6" w:space="0"/>
              <w:right w:val="single" w:color="3E3E3E" w:sz="6" w:space="0"/>
            </w:tcBorders>
            <w:shd w:val="clear"/>
            <w:vAlign w:val="center"/>
          </w:tcPr>
          <w:p w14:paraId="347FE79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保障性安居工程配套基础设施专项</w:t>
            </w:r>
          </w:p>
        </w:tc>
        <w:tc>
          <w:tcPr>
            <w:tcW w:w="1276" w:type="pct"/>
            <w:tcBorders>
              <w:top w:val="single" w:color="3E3E3E" w:sz="6" w:space="0"/>
              <w:left w:val="single" w:color="3E3E3E" w:sz="6" w:space="0"/>
              <w:bottom w:val="single" w:color="3E3E3E" w:sz="6" w:space="0"/>
              <w:right w:val="single" w:color="3E3E3E" w:sz="6" w:space="0"/>
            </w:tcBorders>
            <w:shd w:val="clear"/>
            <w:vAlign w:val="center"/>
          </w:tcPr>
          <w:p w14:paraId="1D75641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《保障性安居工程配套基础设施中央预算内投资专项管理办法》（发改投资规〔2022〕910号）</w:t>
            </w:r>
          </w:p>
        </w:tc>
        <w:tc>
          <w:tcPr>
            <w:tcW w:w="1231" w:type="pct"/>
            <w:tcBorders>
              <w:top w:val="single" w:color="3E3E3E" w:sz="6" w:space="0"/>
              <w:left w:val="single" w:color="3E3E3E" w:sz="6" w:space="0"/>
              <w:bottom w:val="single" w:color="3E3E3E" w:sz="6" w:space="0"/>
              <w:right w:val="single" w:color="3E3E3E" w:sz="6" w:space="0"/>
            </w:tcBorders>
            <w:shd w:val="clear"/>
            <w:vAlign w:val="center"/>
          </w:tcPr>
          <w:p w14:paraId="0ACE68F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保障性住房、城中村改造、老旧小区改造、棚户区改造等配套基础设施</w:t>
            </w:r>
          </w:p>
        </w:tc>
        <w:tc>
          <w:tcPr>
            <w:tcW w:w="920" w:type="pct"/>
            <w:tcBorders>
              <w:top w:val="single" w:color="3E3E3E" w:sz="6" w:space="0"/>
              <w:left w:val="single" w:color="3E3E3E" w:sz="6" w:space="0"/>
              <w:bottom w:val="single" w:color="3E3E3E" w:sz="6" w:space="0"/>
              <w:right w:val="single" w:color="3E3E3E" w:sz="6" w:space="0"/>
            </w:tcBorders>
            <w:shd w:val="clear"/>
            <w:vAlign w:val="center"/>
          </w:tcPr>
          <w:p w14:paraId="0BC02F0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老旧小区等最高不超建安投资；保障性租赁住房政府项目不超30%、企业项目不超50%</w:t>
            </w:r>
          </w:p>
        </w:tc>
        <w:tc>
          <w:tcPr>
            <w:tcW w:w="849" w:type="pct"/>
            <w:tcBorders>
              <w:top w:val="single" w:color="3E3E3E" w:sz="6" w:space="0"/>
              <w:left w:val="single" w:color="3E3E3E" w:sz="6" w:space="0"/>
              <w:bottom w:val="single" w:color="3E3E3E" w:sz="6" w:space="0"/>
              <w:right w:val="single" w:color="3E3E3E" w:sz="6" w:space="0"/>
            </w:tcBorders>
            <w:shd w:val="clear"/>
            <w:vAlign w:val="center"/>
          </w:tcPr>
          <w:p w14:paraId="2EA2491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纳入住建部与各省确定的年度目标任务</w:t>
            </w:r>
          </w:p>
        </w:tc>
      </w:tr>
      <w:tr w14:paraId="1D337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722" w:type="pct"/>
            <w:tcBorders>
              <w:top w:val="single" w:color="3E3E3E" w:sz="6" w:space="0"/>
              <w:left w:val="single" w:color="3E3E3E" w:sz="6" w:space="0"/>
              <w:bottom w:val="single" w:color="3E3E3E" w:sz="6" w:space="0"/>
              <w:right w:val="single" w:color="3E3E3E" w:sz="6" w:space="0"/>
            </w:tcBorders>
            <w:shd w:val="clear"/>
            <w:vAlign w:val="center"/>
          </w:tcPr>
          <w:p w14:paraId="1B12ABB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农业专项</w:t>
            </w:r>
          </w:p>
        </w:tc>
        <w:tc>
          <w:tcPr>
            <w:tcW w:w="1276" w:type="pct"/>
            <w:tcBorders>
              <w:top w:val="single" w:color="3E3E3E" w:sz="6" w:space="0"/>
              <w:left w:val="single" w:color="3E3E3E" w:sz="6" w:space="0"/>
              <w:bottom w:val="single" w:color="3E3E3E" w:sz="6" w:space="0"/>
              <w:right w:val="single" w:color="3E3E3E" w:sz="6" w:space="0"/>
            </w:tcBorders>
            <w:shd w:val="clear"/>
            <w:vAlign w:val="center"/>
          </w:tcPr>
          <w:p w14:paraId="6D1F227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《农业中央预算内投资专项管理办法》（发改农经规〔2024〕744号）</w:t>
            </w:r>
          </w:p>
        </w:tc>
        <w:tc>
          <w:tcPr>
            <w:tcW w:w="1231" w:type="pct"/>
            <w:tcBorders>
              <w:top w:val="single" w:color="3E3E3E" w:sz="6" w:space="0"/>
              <w:left w:val="single" w:color="3E3E3E" w:sz="6" w:space="0"/>
              <w:bottom w:val="single" w:color="3E3E3E" w:sz="6" w:space="0"/>
              <w:right w:val="single" w:color="3E3E3E" w:sz="6" w:space="0"/>
            </w:tcBorders>
            <w:shd w:val="clear"/>
            <w:vAlign w:val="center"/>
          </w:tcPr>
          <w:p w14:paraId="2CA0763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高标准农田、大豆玉米单产提升、现代种业提升、动植物保护能力提升</w:t>
            </w:r>
          </w:p>
        </w:tc>
        <w:tc>
          <w:tcPr>
            <w:tcW w:w="920" w:type="pct"/>
            <w:tcBorders>
              <w:top w:val="single" w:color="3E3E3E" w:sz="6" w:space="0"/>
              <w:left w:val="single" w:color="3E3E3E" w:sz="6" w:space="0"/>
              <w:bottom w:val="single" w:color="3E3E3E" w:sz="6" w:space="0"/>
              <w:right w:val="single" w:color="3E3E3E" w:sz="6" w:space="0"/>
            </w:tcBorders>
            <w:shd w:val="clear"/>
            <w:vAlign w:val="center"/>
          </w:tcPr>
          <w:p w14:paraId="3C91D50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高标准农田2200-2400元/亩；种业项目1000-1200万元且不超40%；动植物保护类比例40%-80%不等</w:t>
            </w:r>
          </w:p>
        </w:tc>
        <w:tc>
          <w:tcPr>
            <w:tcW w:w="849" w:type="pct"/>
            <w:tcBorders>
              <w:top w:val="single" w:color="3E3E3E" w:sz="6" w:space="0"/>
              <w:left w:val="single" w:color="3E3E3E" w:sz="6" w:space="0"/>
              <w:bottom w:val="single" w:color="3E3E3E" w:sz="6" w:space="0"/>
              <w:right w:val="single" w:color="3E3E3E" w:sz="6" w:space="0"/>
            </w:tcBorders>
            <w:shd w:val="clear"/>
            <w:vAlign w:val="center"/>
          </w:tcPr>
          <w:p w14:paraId="552A229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优先支持粮食产能重点县，以县为单位申报，对应编制初步设计或可研</w:t>
            </w:r>
          </w:p>
        </w:tc>
      </w:tr>
      <w:tr w14:paraId="478FB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c>
          <w:tcPr>
            <w:tcW w:w="722" w:type="pct"/>
            <w:tcBorders>
              <w:top w:val="single" w:color="3E3E3E" w:sz="6" w:space="0"/>
              <w:left w:val="single" w:color="3E3E3E" w:sz="6" w:space="0"/>
              <w:bottom w:val="single" w:color="3E3E3E" w:sz="6" w:space="0"/>
              <w:right w:val="single" w:color="3E3E3E" w:sz="6" w:space="0"/>
            </w:tcBorders>
            <w:shd w:val="clear"/>
            <w:vAlign w:val="center"/>
          </w:tcPr>
          <w:p w14:paraId="3E6ECE7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乡村振兴专项</w:t>
            </w:r>
          </w:p>
        </w:tc>
        <w:tc>
          <w:tcPr>
            <w:tcW w:w="1276" w:type="pct"/>
            <w:tcBorders>
              <w:top w:val="single" w:color="3E3E3E" w:sz="6" w:space="0"/>
              <w:left w:val="single" w:color="3E3E3E" w:sz="6" w:space="0"/>
              <w:bottom w:val="single" w:color="3E3E3E" w:sz="6" w:space="0"/>
              <w:right w:val="single" w:color="3E3E3E" w:sz="6" w:space="0"/>
            </w:tcBorders>
            <w:shd w:val="clear"/>
            <w:vAlign w:val="center"/>
          </w:tcPr>
          <w:p w14:paraId="6F8288C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《乡村振兴（和美乡村建设及农村产业融合发展方向）中央预算内投资专项管理办法》（发改农经规〔2024〕1723号）</w:t>
            </w:r>
          </w:p>
        </w:tc>
        <w:tc>
          <w:tcPr>
            <w:tcW w:w="1231" w:type="pct"/>
            <w:tcBorders>
              <w:top w:val="single" w:color="3E3E3E" w:sz="6" w:space="0"/>
              <w:left w:val="single" w:color="3E3E3E" w:sz="6" w:space="0"/>
              <w:bottom w:val="single" w:color="3E3E3E" w:sz="6" w:space="0"/>
              <w:right w:val="single" w:color="3E3E3E" w:sz="6" w:space="0"/>
            </w:tcBorders>
            <w:shd w:val="clear"/>
            <w:vAlign w:val="center"/>
          </w:tcPr>
          <w:p w14:paraId="18BEBAE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和美乡村公共设施、农村污水垃圾处理、农村产业融合配套基础设施</w:t>
            </w:r>
          </w:p>
        </w:tc>
        <w:tc>
          <w:tcPr>
            <w:tcW w:w="920" w:type="pct"/>
            <w:tcBorders>
              <w:top w:val="single" w:color="3E3E3E" w:sz="6" w:space="0"/>
              <w:left w:val="single" w:color="3E3E3E" w:sz="6" w:space="0"/>
              <w:bottom w:val="single" w:color="3E3E3E" w:sz="6" w:space="0"/>
              <w:right w:val="single" w:color="3E3E3E" w:sz="6" w:space="0"/>
            </w:tcBorders>
            <w:shd w:val="clear"/>
            <w:vAlign w:val="center"/>
          </w:tcPr>
          <w:p w14:paraId="1776959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和美乡村单县最高8000万元；产业融合项目不超总投资50%，单县最高4000万元</w:t>
            </w:r>
          </w:p>
        </w:tc>
        <w:tc>
          <w:tcPr>
            <w:tcW w:w="849" w:type="pct"/>
            <w:tcBorders>
              <w:top w:val="single" w:color="3E3E3E" w:sz="6" w:space="0"/>
              <w:left w:val="single" w:color="3E3E3E" w:sz="6" w:space="0"/>
              <w:bottom w:val="single" w:color="3E3E3E" w:sz="6" w:space="0"/>
              <w:right w:val="single" w:color="3E3E3E" w:sz="6" w:space="0"/>
            </w:tcBorders>
            <w:shd w:val="clear"/>
            <w:vAlign w:val="center"/>
          </w:tcPr>
          <w:p w14:paraId="104E3DB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和美乡村优先支持常住人口2000人以上、村集体收入20万元以上的村庄</w:t>
            </w:r>
          </w:p>
        </w:tc>
      </w:tr>
      <w:tr w14:paraId="6B6A9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722" w:type="pct"/>
            <w:tcBorders>
              <w:top w:val="single" w:color="3E3E3E" w:sz="6" w:space="0"/>
              <w:left w:val="single" w:color="3E3E3E" w:sz="6" w:space="0"/>
              <w:bottom w:val="single" w:color="3E3E3E" w:sz="6" w:space="0"/>
              <w:right w:val="single" w:color="3E3E3E" w:sz="6" w:space="0"/>
            </w:tcBorders>
            <w:shd w:val="clear"/>
            <w:vAlign w:val="center"/>
          </w:tcPr>
          <w:p w14:paraId="7CFE1A4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以工代赈示范专项</w:t>
            </w:r>
          </w:p>
        </w:tc>
        <w:tc>
          <w:tcPr>
            <w:tcW w:w="1276" w:type="pct"/>
            <w:tcBorders>
              <w:top w:val="single" w:color="3E3E3E" w:sz="6" w:space="0"/>
              <w:left w:val="single" w:color="3E3E3E" w:sz="6" w:space="0"/>
              <w:bottom w:val="single" w:color="3E3E3E" w:sz="6" w:space="0"/>
              <w:right w:val="single" w:color="3E3E3E" w:sz="6" w:space="0"/>
            </w:tcBorders>
            <w:shd w:val="clear"/>
            <w:vAlign w:val="center"/>
          </w:tcPr>
          <w:p w14:paraId="5EE3187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《国家以工代赈管理办法》（第57号令）</w:t>
            </w:r>
          </w:p>
        </w:tc>
        <w:tc>
          <w:tcPr>
            <w:tcW w:w="1231" w:type="pct"/>
            <w:tcBorders>
              <w:top w:val="single" w:color="3E3E3E" w:sz="6" w:space="0"/>
              <w:left w:val="single" w:color="3E3E3E" w:sz="6" w:space="0"/>
              <w:bottom w:val="single" w:color="3E3E3E" w:sz="6" w:space="0"/>
              <w:right w:val="single" w:color="3E3E3E" w:sz="6" w:space="0"/>
            </w:tcBorders>
            <w:shd w:val="clear"/>
            <w:vAlign w:val="center"/>
          </w:tcPr>
          <w:p w14:paraId="4B4C6B3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中小型公益性基础设施、产业配套设施，重点支持欠发达区域</w:t>
            </w:r>
          </w:p>
        </w:tc>
        <w:tc>
          <w:tcPr>
            <w:tcW w:w="920" w:type="pct"/>
            <w:tcBorders>
              <w:top w:val="single" w:color="3E3E3E" w:sz="6" w:space="0"/>
              <w:left w:val="single" w:color="3E3E3E" w:sz="6" w:space="0"/>
              <w:bottom w:val="single" w:color="3E3E3E" w:sz="6" w:space="0"/>
              <w:right w:val="single" w:color="3E3E3E" w:sz="6" w:space="0"/>
            </w:tcBorders>
            <w:shd w:val="clear"/>
            <w:vAlign w:val="center"/>
          </w:tcPr>
          <w:p w14:paraId="2E3237D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单个项目中央投资200-800万元，劳务报酬占比不低于30%</w:t>
            </w:r>
          </w:p>
        </w:tc>
        <w:tc>
          <w:tcPr>
            <w:tcW w:w="849" w:type="pct"/>
            <w:tcBorders>
              <w:top w:val="single" w:color="3E3E3E" w:sz="6" w:space="0"/>
              <w:left w:val="single" w:color="3E3E3E" w:sz="6" w:space="0"/>
              <w:bottom w:val="single" w:color="3E3E3E" w:sz="6" w:space="0"/>
              <w:right w:val="single" w:color="3E3E3E" w:sz="6" w:space="0"/>
            </w:tcBorders>
            <w:shd w:val="clear"/>
            <w:vAlign w:val="center"/>
          </w:tcPr>
          <w:p w14:paraId="4F0AF98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配套重点工程需纳入省市级重点项目清单，进度符合要求</w:t>
            </w:r>
          </w:p>
        </w:tc>
      </w:tr>
      <w:tr w14:paraId="7DF99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722" w:type="pct"/>
            <w:tcBorders>
              <w:top w:val="single" w:color="3E3E3E" w:sz="6" w:space="0"/>
              <w:left w:val="single" w:color="3E3E3E" w:sz="6" w:space="0"/>
              <w:bottom w:val="single" w:color="3E3E3E" w:sz="6" w:space="0"/>
              <w:right w:val="single" w:color="3E3E3E" w:sz="6" w:space="0"/>
            </w:tcBorders>
            <w:shd w:val="clear"/>
            <w:vAlign w:val="center"/>
          </w:tcPr>
          <w:p w14:paraId="0DA2E03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重大区域发展战略建设专项(长三角一体化)</w:t>
            </w:r>
          </w:p>
        </w:tc>
        <w:tc>
          <w:tcPr>
            <w:tcW w:w="1276" w:type="pct"/>
            <w:tcBorders>
              <w:top w:val="single" w:color="3E3E3E" w:sz="6" w:space="0"/>
              <w:left w:val="single" w:color="3E3E3E" w:sz="6" w:space="0"/>
              <w:bottom w:val="single" w:color="3E3E3E" w:sz="6" w:space="0"/>
              <w:right w:val="single" w:color="3E3E3E" w:sz="6" w:space="0"/>
            </w:tcBorders>
            <w:shd w:val="clear"/>
            <w:vAlign w:val="center"/>
          </w:tcPr>
          <w:p w14:paraId="4032124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《粤港澳大湾区建设、长江三角洲区域一体化发展中央预算内投资专项管理办法》（发改地区规〔2021〕466号）</w:t>
            </w:r>
          </w:p>
        </w:tc>
        <w:tc>
          <w:tcPr>
            <w:tcW w:w="1231" w:type="pct"/>
            <w:tcBorders>
              <w:top w:val="single" w:color="3E3E3E" w:sz="6" w:space="0"/>
              <w:left w:val="single" w:color="3E3E3E" w:sz="6" w:space="0"/>
              <w:bottom w:val="single" w:color="3E3E3E" w:sz="6" w:space="0"/>
              <w:right w:val="single" w:color="3E3E3E" w:sz="6" w:space="0"/>
            </w:tcBorders>
            <w:shd w:val="clear"/>
            <w:vAlign w:val="center"/>
          </w:tcPr>
          <w:p w14:paraId="6C1B957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基础设施互联互通、生态共保联治、公共服务共享、科创平台建设</w:t>
            </w:r>
          </w:p>
        </w:tc>
        <w:tc>
          <w:tcPr>
            <w:tcW w:w="920" w:type="pct"/>
            <w:tcBorders>
              <w:top w:val="single" w:color="3E3E3E" w:sz="6" w:space="0"/>
              <w:left w:val="single" w:color="3E3E3E" w:sz="6" w:space="0"/>
              <w:bottom w:val="single" w:color="3E3E3E" w:sz="6" w:space="0"/>
              <w:right w:val="single" w:color="3E3E3E" w:sz="6" w:space="0"/>
            </w:tcBorders>
            <w:shd w:val="clear"/>
            <w:vAlign w:val="center"/>
          </w:tcPr>
          <w:p w14:paraId="04A0096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不超固定资产投资（不含征拆）的45%</w:t>
            </w:r>
          </w:p>
        </w:tc>
        <w:tc>
          <w:tcPr>
            <w:tcW w:w="849" w:type="pct"/>
            <w:tcBorders>
              <w:top w:val="single" w:color="3E3E3E" w:sz="6" w:space="0"/>
              <w:left w:val="single" w:color="3E3E3E" w:sz="6" w:space="0"/>
              <w:bottom w:val="single" w:color="3E3E3E" w:sz="6" w:space="0"/>
              <w:right w:val="single" w:color="3E3E3E" w:sz="6" w:space="0"/>
            </w:tcBorders>
            <w:shd w:val="clear"/>
            <w:vAlign w:val="center"/>
          </w:tcPr>
          <w:p w14:paraId="14C18E4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突出省际协同示范，符合长三角一体化发展规划</w:t>
            </w:r>
          </w:p>
        </w:tc>
      </w:tr>
      <w:tr w14:paraId="6E409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722" w:type="pct"/>
            <w:tcBorders>
              <w:top w:val="single" w:color="3E3E3E" w:sz="6" w:space="0"/>
              <w:left w:val="single" w:color="3E3E3E" w:sz="6" w:space="0"/>
              <w:bottom w:val="single" w:color="3E3E3E" w:sz="6" w:space="0"/>
              <w:right w:val="single" w:color="3E3E3E" w:sz="6" w:space="0"/>
            </w:tcBorders>
            <w:shd w:val="clear"/>
            <w:vAlign w:val="center"/>
          </w:tcPr>
          <w:p w14:paraId="75727FC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节能降碳专项</w:t>
            </w:r>
          </w:p>
        </w:tc>
        <w:tc>
          <w:tcPr>
            <w:tcW w:w="1276" w:type="pct"/>
            <w:tcBorders>
              <w:top w:val="single" w:color="3E3E3E" w:sz="6" w:space="0"/>
              <w:left w:val="single" w:color="3E3E3E" w:sz="6" w:space="0"/>
              <w:bottom w:val="single" w:color="3E3E3E" w:sz="6" w:space="0"/>
              <w:right w:val="single" w:color="3E3E3E" w:sz="6" w:space="0"/>
            </w:tcBorders>
            <w:shd w:val="clear"/>
            <w:vAlign w:val="center"/>
          </w:tcPr>
          <w:p w14:paraId="6B7C0A4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《节能降碳中央预算内投资专项管理办法》（发改环资规〔2024〕338号）</w:t>
            </w:r>
          </w:p>
        </w:tc>
        <w:tc>
          <w:tcPr>
            <w:tcW w:w="1231" w:type="pct"/>
            <w:tcBorders>
              <w:top w:val="single" w:color="3E3E3E" w:sz="6" w:space="0"/>
              <w:left w:val="single" w:color="3E3E3E" w:sz="6" w:space="0"/>
              <w:bottom w:val="single" w:color="3E3E3E" w:sz="6" w:space="0"/>
              <w:right w:val="single" w:color="3E3E3E" w:sz="6" w:space="0"/>
            </w:tcBorders>
            <w:shd w:val="clear"/>
            <w:vAlign w:val="center"/>
          </w:tcPr>
          <w:p w14:paraId="0606B20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双碳技术示范、重点行业节能改造、循环经济降碳项目</w:t>
            </w:r>
          </w:p>
        </w:tc>
        <w:tc>
          <w:tcPr>
            <w:tcW w:w="920" w:type="pct"/>
            <w:tcBorders>
              <w:top w:val="single" w:color="3E3E3E" w:sz="6" w:space="0"/>
              <w:left w:val="single" w:color="3E3E3E" w:sz="6" w:space="0"/>
              <w:bottom w:val="single" w:color="3E3E3E" w:sz="6" w:space="0"/>
              <w:right w:val="single" w:color="3E3E3E" w:sz="6" w:space="0"/>
            </w:tcBorders>
            <w:shd w:val="clear"/>
            <w:vAlign w:val="center"/>
          </w:tcPr>
          <w:p w14:paraId="5CBD98F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技术示范项目不超30%；节能改造不超20%；循环经济不超15%；单个项目最高1亿元</w:t>
            </w:r>
          </w:p>
        </w:tc>
        <w:tc>
          <w:tcPr>
            <w:tcW w:w="849" w:type="pct"/>
            <w:tcBorders>
              <w:top w:val="single" w:color="3E3E3E" w:sz="6" w:space="0"/>
              <w:left w:val="single" w:color="3E3E3E" w:sz="6" w:space="0"/>
              <w:bottom w:val="single" w:color="3E3E3E" w:sz="6" w:space="0"/>
              <w:right w:val="single" w:color="3E3E3E" w:sz="6" w:space="0"/>
            </w:tcBorders>
            <w:shd w:val="clear"/>
            <w:vAlign w:val="center"/>
          </w:tcPr>
          <w:p w14:paraId="710E838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优先支持绿色低碳技术清单项目、碳达峰试点项目</w:t>
            </w:r>
          </w:p>
        </w:tc>
      </w:tr>
      <w:tr w14:paraId="20BA7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722" w:type="pct"/>
            <w:tcBorders>
              <w:top w:val="single" w:color="3E3E3E" w:sz="6" w:space="0"/>
              <w:left w:val="single" w:color="3E3E3E" w:sz="6" w:space="0"/>
              <w:bottom w:val="single" w:color="3E3E3E" w:sz="6" w:space="0"/>
              <w:right w:val="single" w:color="3E3E3E" w:sz="6" w:space="0"/>
            </w:tcBorders>
            <w:shd w:val="clear"/>
            <w:vAlign w:val="center"/>
          </w:tcPr>
          <w:p w14:paraId="41E653F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污染治理专项</w:t>
            </w:r>
          </w:p>
        </w:tc>
        <w:tc>
          <w:tcPr>
            <w:tcW w:w="1276" w:type="pct"/>
            <w:tcBorders>
              <w:top w:val="single" w:color="3E3E3E" w:sz="6" w:space="0"/>
              <w:left w:val="single" w:color="3E3E3E" w:sz="6" w:space="0"/>
              <w:bottom w:val="single" w:color="3E3E3E" w:sz="6" w:space="0"/>
              <w:right w:val="single" w:color="3E3E3E" w:sz="6" w:space="0"/>
            </w:tcBorders>
            <w:shd w:val="clear"/>
            <w:vAlign w:val="center"/>
          </w:tcPr>
          <w:p w14:paraId="0E8D0C0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《污染治理中央预算内投资专项管理办法》（发改环资规〔2024〕337号）</w:t>
            </w:r>
          </w:p>
        </w:tc>
        <w:tc>
          <w:tcPr>
            <w:tcW w:w="1231" w:type="pct"/>
            <w:tcBorders>
              <w:top w:val="single" w:color="3E3E3E" w:sz="6" w:space="0"/>
              <w:left w:val="single" w:color="3E3E3E" w:sz="6" w:space="0"/>
              <w:bottom w:val="single" w:color="3E3E3E" w:sz="6" w:space="0"/>
              <w:right w:val="single" w:color="3E3E3E" w:sz="6" w:space="0"/>
            </w:tcBorders>
            <w:shd w:val="clear"/>
            <w:vAlign w:val="center"/>
          </w:tcPr>
          <w:p w14:paraId="44187E3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城镇环境基础设施、重点行业清洁生产、土壤/新污染物治理、污水治理与节水</w:t>
            </w:r>
          </w:p>
        </w:tc>
        <w:tc>
          <w:tcPr>
            <w:tcW w:w="920" w:type="pct"/>
            <w:tcBorders>
              <w:top w:val="single" w:color="3E3E3E" w:sz="6" w:space="0"/>
              <w:left w:val="single" w:color="3E3E3E" w:sz="6" w:space="0"/>
              <w:bottom w:val="single" w:color="3E3E3E" w:sz="6" w:space="0"/>
              <w:right w:val="single" w:color="3E3E3E" w:sz="6" w:space="0"/>
            </w:tcBorders>
            <w:shd w:val="clear"/>
            <w:vAlign w:val="center"/>
          </w:tcPr>
          <w:p w14:paraId="1840DAD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清洁生产/节水不超15%；危废处置不超20%；其他不超60%；单个项目最高1亿元</w:t>
            </w:r>
          </w:p>
        </w:tc>
        <w:tc>
          <w:tcPr>
            <w:tcW w:w="849" w:type="pct"/>
            <w:tcBorders>
              <w:top w:val="single" w:color="3E3E3E" w:sz="6" w:space="0"/>
              <w:left w:val="single" w:color="3E3E3E" w:sz="6" w:space="0"/>
              <w:bottom w:val="single" w:color="3E3E3E" w:sz="6" w:space="0"/>
              <w:right w:val="single" w:color="3E3E3E" w:sz="6" w:space="0"/>
            </w:tcBorders>
            <w:shd w:val="clear"/>
            <w:vAlign w:val="center"/>
          </w:tcPr>
          <w:p w14:paraId="5F20BAE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优先支持国家级园区第三方治理、重点流域治理示范项目</w:t>
            </w:r>
          </w:p>
        </w:tc>
      </w:tr>
      <w:tr w14:paraId="2A978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722" w:type="pct"/>
            <w:tcBorders>
              <w:top w:val="single" w:color="3E3E3E" w:sz="6" w:space="0"/>
              <w:left w:val="single" w:color="3E3E3E" w:sz="6" w:space="0"/>
              <w:bottom w:val="single" w:color="3E3E3E" w:sz="6" w:space="0"/>
              <w:right w:val="single" w:color="3E3E3E" w:sz="6" w:space="0"/>
            </w:tcBorders>
            <w:shd w:val="clear"/>
            <w:vAlign w:val="center"/>
          </w:tcPr>
          <w:p w14:paraId="06B5F69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生态保护修复专项</w:t>
            </w:r>
          </w:p>
        </w:tc>
        <w:tc>
          <w:tcPr>
            <w:tcW w:w="1276" w:type="pct"/>
            <w:tcBorders>
              <w:top w:val="single" w:color="3E3E3E" w:sz="6" w:space="0"/>
              <w:left w:val="single" w:color="3E3E3E" w:sz="6" w:space="0"/>
              <w:bottom w:val="single" w:color="3E3E3E" w:sz="6" w:space="0"/>
              <w:right w:val="single" w:color="3E3E3E" w:sz="6" w:space="0"/>
            </w:tcBorders>
            <w:shd w:val="clear"/>
            <w:vAlign w:val="center"/>
          </w:tcPr>
          <w:p w14:paraId="689A727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《生态保护修复中央预算内投资专项管理办法》（发改农经规〔2024〕590号）</w:t>
            </w:r>
          </w:p>
        </w:tc>
        <w:tc>
          <w:tcPr>
            <w:tcW w:w="1231" w:type="pct"/>
            <w:tcBorders>
              <w:top w:val="single" w:color="3E3E3E" w:sz="6" w:space="0"/>
              <w:left w:val="single" w:color="3E3E3E" w:sz="6" w:space="0"/>
              <w:bottom w:val="single" w:color="3E3E3E" w:sz="6" w:space="0"/>
              <w:right w:val="single" w:color="3E3E3E" w:sz="6" w:space="0"/>
            </w:tcBorders>
            <w:shd w:val="clear"/>
            <w:vAlign w:val="center"/>
          </w:tcPr>
          <w:p w14:paraId="0837EF2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长江生物多样性保护、农业面源污染治理、重点区域生态修复、林草资源保护</w:t>
            </w:r>
          </w:p>
        </w:tc>
        <w:tc>
          <w:tcPr>
            <w:tcW w:w="920" w:type="pct"/>
            <w:tcBorders>
              <w:top w:val="single" w:color="3E3E3E" w:sz="6" w:space="0"/>
              <w:left w:val="single" w:color="3E3E3E" w:sz="6" w:space="0"/>
              <w:bottom w:val="single" w:color="3E3E3E" w:sz="6" w:space="0"/>
              <w:right w:val="single" w:color="3E3E3E" w:sz="6" w:space="0"/>
            </w:tcBorders>
            <w:shd w:val="clear"/>
            <w:vAlign w:val="center"/>
          </w:tcPr>
          <w:p w14:paraId="29CE0CC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农业面源治理不超5000万元且比例50%；生态修复70%；湿地/野生动植物保护80%</w:t>
            </w:r>
          </w:p>
        </w:tc>
        <w:tc>
          <w:tcPr>
            <w:tcW w:w="849" w:type="pct"/>
            <w:tcBorders>
              <w:top w:val="single" w:color="3E3E3E" w:sz="6" w:space="0"/>
              <w:left w:val="single" w:color="3E3E3E" w:sz="6" w:space="0"/>
              <w:bottom w:val="single" w:color="3E3E3E" w:sz="6" w:space="0"/>
              <w:right w:val="single" w:color="3E3E3E" w:sz="6" w:space="0"/>
            </w:tcBorders>
            <w:shd w:val="clear"/>
            <w:vAlign w:val="center"/>
          </w:tcPr>
          <w:p w14:paraId="6AD4EB8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纳入国家级生态规划，已实施同类项目的县不得重复申报</w:t>
            </w:r>
          </w:p>
        </w:tc>
      </w:tr>
      <w:tr w14:paraId="5E54A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722" w:type="pct"/>
            <w:tcBorders>
              <w:top w:val="single" w:color="3E3E3E" w:sz="6" w:space="0"/>
              <w:left w:val="single" w:color="3E3E3E" w:sz="6" w:space="0"/>
              <w:bottom w:val="single" w:color="3E3E3E" w:sz="6" w:space="0"/>
              <w:right w:val="single" w:color="3E3E3E" w:sz="6" w:space="0"/>
            </w:tcBorders>
            <w:shd w:val="clear"/>
            <w:vAlign w:val="center"/>
          </w:tcPr>
          <w:p w14:paraId="6C04D83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重点流域水环境综合治理专项</w:t>
            </w:r>
          </w:p>
        </w:tc>
        <w:tc>
          <w:tcPr>
            <w:tcW w:w="1276" w:type="pct"/>
            <w:tcBorders>
              <w:top w:val="single" w:color="3E3E3E" w:sz="6" w:space="0"/>
              <w:left w:val="single" w:color="3E3E3E" w:sz="6" w:space="0"/>
              <w:bottom w:val="single" w:color="3E3E3E" w:sz="6" w:space="0"/>
              <w:right w:val="single" w:color="3E3E3E" w:sz="6" w:space="0"/>
            </w:tcBorders>
            <w:shd w:val="clear"/>
            <w:vAlign w:val="center"/>
          </w:tcPr>
          <w:p w14:paraId="2B079FF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《重点流域水环境综合治理中央预算内投资专项管理办法》（发改区域规〔2024〕352号）</w:t>
            </w:r>
          </w:p>
        </w:tc>
        <w:tc>
          <w:tcPr>
            <w:tcW w:w="1231" w:type="pct"/>
            <w:tcBorders>
              <w:top w:val="single" w:color="3E3E3E" w:sz="6" w:space="0"/>
              <w:left w:val="single" w:color="3E3E3E" w:sz="6" w:space="0"/>
              <w:bottom w:val="single" w:color="3E3E3E" w:sz="6" w:space="0"/>
              <w:right w:val="single" w:color="3E3E3E" w:sz="6" w:space="0"/>
            </w:tcBorders>
            <w:shd w:val="clear"/>
            <w:vAlign w:val="center"/>
          </w:tcPr>
          <w:p w14:paraId="5EBC197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江河湖库综合治理、饮用水源地保护、内源污染治理、生态护坡</w:t>
            </w:r>
          </w:p>
        </w:tc>
        <w:tc>
          <w:tcPr>
            <w:tcW w:w="920" w:type="pct"/>
            <w:tcBorders>
              <w:top w:val="single" w:color="3E3E3E" w:sz="6" w:space="0"/>
              <w:left w:val="single" w:color="3E3E3E" w:sz="6" w:space="0"/>
              <w:bottom w:val="single" w:color="3E3E3E" w:sz="6" w:space="0"/>
              <w:right w:val="single" w:color="3E3E3E" w:sz="6" w:space="0"/>
            </w:tcBorders>
            <w:shd w:val="clear"/>
            <w:vAlign w:val="center"/>
          </w:tcPr>
          <w:p w14:paraId="3F097E6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不超核定总投资（不含征拆）的60%</w:t>
            </w:r>
          </w:p>
        </w:tc>
        <w:tc>
          <w:tcPr>
            <w:tcW w:w="849" w:type="pct"/>
            <w:tcBorders>
              <w:top w:val="single" w:color="3E3E3E" w:sz="6" w:space="0"/>
              <w:left w:val="single" w:color="3E3E3E" w:sz="6" w:space="0"/>
              <w:bottom w:val="single" w:color="3E3E3E" w:sz="6" w:space="0"/>
              <w:right w:val="single" w:color="3E3E3E" w:sz="6" w:space="0"/>
            </w:tcBorders>
            <w:shd w:val="clear"/>
            <w:vAlign w:val="center"/>
          </w:tcPr>
          <w:p w14:paraId="2E2A2D6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建设内容至少包含2项以上治理工程，不得单独申报污水垃圾项目</w:t>
            </w:r>
          </w:p>
        </w:tc>
      </w:tr>
      <w:tr w14:paraId="1ACC9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722" w:type="pct"/>
            <w:tcBorders>
              <w:top w:val="single" w:color="3E3E3E" w:sz="6" w:space="0"/>
              <w:left w:val="single" w:color="3E3E3E" w:sz="6" w:space="0"/>
              <w:bottom w:val="single" w:color="3E3E3E" w:sz="6" w:space="0"/>
              <w:right w:val="single" w:color="3E3E3E" w:sz="6" w:space="0"/>
            </w:tcBorders>
            <w:shd w:val="clear"/>
            <w:vAlign w:val="center"/>
          </w:tcPr>
          <w:p w14:paraId="127471A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教育强国基础设施建设工程专项</w:t>
            </w:r>
          </w:p>
        </w:tc>
        <w:tc>
          <w:tcPr>
            <w:tcW w:w="1276" w:type="pct"/>
            <w:tcBorders>
              <w:top w:val="single" w:color="3E3E3E" w:sz="6" w:space="0"/>
              <w:left w:val="single" w:color="3E3E3E" w:sz="6" w:space="0"/>
              <w:bottom w:val="single" w:color="3E3E3E" w:sz="6" w:space="0"/>
              <w:right w:val="single" w:color="3E3E3E" w:sz="6" w:space="0"/>
            </w:tcBorders>
            <w:shd w:val="clear"/>
            <w:vAlign w:val="center"/>
          </w:tcPr>
          <w:p w14:paraId="30FB20D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《社会领域中央预算内投资相关专项管理办法的通知》（发改社会规〔2024〕284号）</w:t>
            </w:r>
          </w:p>
        </w:tc>
        <w:tc>
          <w:tcPr>
            <w:tcW w:w="1231" w:type="pct"/>
            <w:tcBorders>
              <w:top w:val="single" w:color="3E3E3E" w:sz="6" w:space="0"/>
              <w:left w:val="single" w:color="3E3E3E" w:sz="6" w:space="0"/>
              <w:bottom w:val="single" w:color="3E3E3E" w:sz="6" w:space="0"/>
              <w:right w:val="single" w:color="3E3E3E" w:sz="6" w:space="0"/>
            </w:tcBorders>
            <w:shd w:val="clear"/>
            <w:vAlign w:val="center"/>
          </w:tcPr>
          <w:p w14:paraId="5723D19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基础教育学校、职业教育产教融合实训基地、高等教育内涵建设</w:t>
            </w:r>
          </w:p>
        </w:tc>
        <w:tc>
          <w:tcPr>
            <w:tcW w:w="920" w:type="pct"/>
            <w:tcBorders>
              <w:top w:val="single" w:color="3E3E3E" w:sz="6" w:space="0"/>
              <w:left w:val="single" w:color="3E3E3E" w:sz="6" w:space="0"/>
              <w:bottom w:val="single" w:color="3E3E3E" w:sz="6" w:space="0"/>
              <w:right w:val="single" w:color="3E3E3E" w:sz="6" w:space="0"/>
            </w:tcBorders>
            <w:shd w:val="clear"/>
            <w:vAlign w:val="center"/>
          </w:tcPr>
          <w:p w14:paraId="34A86F5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原则上不超工程投资60%；普通高中最高5000万元/所；双一流高校新校区最高30亿元</w:t>
            </w:r>
          </w:p>
        </w:tc>
        <w:tc>
          <w:tcPr>
            <w:tcW w:w="849" w:type="pct"/>
            <w:tcBorders>
              <w:top w:val="single" w:color="3E3E3E" w:sz="6" w:space="0"/>
              <w:left w:val="single" w:color="3E3E3E" w:sz="6" w:space="0"/>
              <w:bottom w:val="single" w:color="3E3E3E" w:sz="6" w:space="0"/>
              <w:right w:val="single" w:color="3E3E3E" w:sz="6" w:space="0"/>
            </w:tcBorders>
            <w:shd w:val="clear"/>
            <w:vAlign w:val="center"/>
          </w:tcPr>
          <w:p w14:paraId="0AD3796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优先支持薄弱县、人口流入地、产粮大县相关项目</w:t>
            </w:r>
          </w:p>
        </w:tc>
      </w:tr>
      <w:tr w14:paraId="496C6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722" w:type="pct"/>
            <w:tcBorders>
              <w:top w:val="single" w:color="3E3E3E" w:sz="6" w:space="0"/>
              <w:left w:val="single" w:color="3E3E3E" w:sz="6" w:space="0"/>
              <w:bottom w:val="single" w:color="3E3E3E" w:sz="6" w:space="0"/>
              <w:right w:val="single" w:color="3E3E3E" w:sz="6" w:space="0"/>
            </w:tcBorders>
            <w:shd w:val="clear"/>
            <w:vAlign w:val="center"/>
          </w:tcPr>
          <w:p w14:paraId="016D213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教育强国基础设施建设工程(公共实训基地方向)</w:t>
            </w:r>
          </w:p>
        </w:tc>
        <w:tc>
          <w:tcPr>
            <w:tcW w:w="1276" w:type="pct"/>
            <w:tcBorders>
              <w:top w:val="single" w:color="3E3E3E" w:sz="6" w:space="0"/>
              <w:left w:val="single" w:color="3E3E3E" w:sz="6" w:space="0"/>
              <w:bottom w:val="single" w:color="3E3E3E" w:sz="6" w:space="0"/>
              <w:right w:val="single" w:color="3E3E3E" w:sz="6" w:space="0"/>
            </w:tcBorders>
            <w:shd w:val="clear"/>
            <w:vAlign w:val="center"/>
          </w:tcPr>
          <w:p w14:paraId="332F43A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《教育强国基础设施建设工程（公共实训基地方向）中央预算内投资专项管理办法》（发改就业规〔2024〕1228号）</w:t>
            </w:r>
          </w:p>
        </w:tc>
        <w:tc>
          <w:tcPr>
            <w:tcW w:w="1231" w:type="pct"/>
            <w:tcBorders>
              <w:top w:val="single" w:color="3E3E3E" w:sz="6" w:space="0"/>
              <w:left w:val="single" w:color="3E3E3E" w:sz="6" w:space="0"/>
              <w:bottom w:val="single" w:color="3E3E3E" w:sz="6" w:space="0"/>
              <w:right w:val="single" w:color="3E3E3E" w:sz="6" w:space="0"/>
            </w:tcBorders>
            <w:shd w:val="clear"/>
            <w:vAlign w:val="center"/>
          </w:tcPr>
          <w:p w14:paraId="5FC0CD2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省、市、县三级公共实训基地新建、改扩建及提质扩容</w:t>
            </w:r>
          </w:p>
        </w:tc>
        <w:tc>
          <w:tcPr>
            <w:tcW w:w="920" w:type="pct"/>
            <w:tcBorders>
              <w:top w:val="single" w:color="3E3E3E" w:sz="6" w:space="0"/>
              <w:left w:val="single" w:color="3E3E3E" w:sz="6" w:space="0"/>
              <w:bottom w:val="single" w:color="3E3E3E" w:sz="6" w:space="0"/>
              <w:right w:val="single" w:color="3E3E3E" w:sz="6" w:space="0"/>
            </w:tcBorders>
            <w:shd w:val="clear"/>
            <w:vAlign w:val="center"/>
          </w:tcPr>
          <w:p w14:paraId="6F1CECA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原则上不超工程投资60%；省级最高1亿元、市级7000万元、县级3000万元</w:t>
            </w:r>
          </w:p>
        </w:tc>
        <w:tc>
          <w:tcPr>
            <w:tcW w:w="849" w:type="pct"/>
            <w:tcBorders>
              <w:top w:val="single" w:color="3E3E3E" w:sz="6" w:space="0"/>
              <w:left w:val="single" w:color="3E3E3E" w:sz="6" w:space="0"/>
              <w:bottom w:val="single" w:color="3E3E3E" w:sz="6" w:space="0"/>
              <w:right w:val="single" w:color="3E3E3E" w:sz="6" w:space="0"/>
            </w:tcBorders>
            <w:shd w:val="clear"/>
            <w:vAlign w:val="center"/>
          </w:tcPr>
          <w:p w14:paraId="2D95A58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未获过中央资金优先；提质扩容需建成运营5年以上且效益良好</w:t>
            </w:r>
          </w:p>
        </w:tc>
      </w:tr>
      <w:tr w14:paraId="337C0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722" w:type="pct"/>
            <w:tcBorders>
              <w:top w:val="single" w:color="3E3E3E" w:sz="6" w:space="0"/>
              <w:left w:val="single" w:color="3E3E3E" w:sz="6" w:space="0"/>
              <w:bottom w:val="single" w:color="3E3E3E" w:sz="6" w:space="0"/>
              <w:right w:val="single" w:color="3E3E3E" w:sz="6" w:space="0"/>
            </w:tcBorders>
            <w:shd w:val="clear"/>
            <w:vAlign w:val="center"/>
          </w:tcPr>
          <w:p w14:paraId="7A90B92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优质高效医疗卫生服务体系建设专项</w:t>
            </w:r>
          </w:p>
        </w:tc>
        <w:tc>
          <w:tcPr>
            <w:tcW w:w="1276" w:type="pct"/>
            <w:tcBorders>
              <w:top w:val="single" w:color="3E3E3E" w:sz="6" w:space="0"/>
              <w:left w:val="single" w:color="3E3E3E" w:sz="6" w:space="0"/>
              <w:bottom w:val="single" w:color="3E3E3E" w:sz="6" w:space="0"/>
              <w:right w:val="single" w:color="3E3E3E" w:sz="6" w:space="0"/>
            </w:tcBorders>
            <w:shd w:val="clear"/>
            <w:vAlign w:val="center"/>
          </w:tcPr>
          <w:p w14:paraId="7FEE3DA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《关于修订印发社会领域中央预算内投资相关专项管理办法的通知》（发改社会规〔2024〕284号）</w:t>
            </w:r>
          </w:p>
        </w:tc>
        <w:tc>
          <w:tcPr>
            <w:tcW w:w="1231" w:type="pct"/>
            <w:tcBorders>
              <w:top w:val="single" w:color="3E3E3E" w:sz="6" w:space="0"/>
              <w:left w:val="single" w:color="3E3E3E" w:sz="6" w:space="0"/>
              <w:bottom w:val="single" w:color="3E3E3E" w:sz="6" w:space="0"/>
              <w:right w:val="single" w:color="3E3E3E" w:sz="6" w:space="0"/>
            </w:tcBorders>
            <w:shd w:val="clear"/>
            <w:vAlign w:val="center"/>
          </w:tcPr>
          <w:p w14:paraId="4075A1B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公共卫生应急救治、公立医院提升、妇幼健康、中医药传承创新</w:t>
            </w:r>
          </w:p>
        </w:tc>
        <w:tc>
          <w:tcPr>
            <w:tcW w:w="920" w:type="pct"/>
            <w:tcBorders>
              <w:top w:val="single" w:color="3E3E3E" w:sz="6" w:space="0"/>
              <w:left w:val="single" w:color="3E3E3E" w:sz="6" w:space="0"/>
              <w:bottom w:val="single" w:color="3E3E3E" w:sz="6" w:space="0"/>
              <w:right w:val="single" w:color="3E3E3E" w:sz="6" w:space="0"/>
            </w:tcBorders>
            <w:shd w:val="clear"/>
            <w:vAlign w:val="center"/>
          </w:tcPr>
          <w:p w14:paraId="71E99B1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原则上不超工程投资60%；平急两用医院最高5000万元、省级精神专科医院最高2亿元</w:t>
            </w:r>
          </w:p>
        </w:tc>
        <w:tc>
          <w:tcPr>
            <w:tcW w:w="849" w:type="pct"/>
            <w:tcBorders>
              <w:top w:val="single" w:color="3E3E3E" w:sz="6" w:space="0"/>
              <w:left w:val="single" w:color="3E3E3E" w:sz="6" w:space="0"/>
              <w:bottom w:val="single" w:color="3E3E3E" w:sz="6" w:space="0"/>
              <w:right w:val="single" w:color="3E3E3E" w:sz="6" w:space="0"/>
            </w:tcBorders>
            <w:shd w:val="clear"/>
            <w:vAlign w:val="center"/>
          </w:tcPr>
          <w:p w14:paraId="37BE5B8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纳入医疗卫生体系建设规划，符合区域医疗布局</w:t>
            </w:r>
          </w:p>
        </w:tc>
      </w:tr>
      <w:tr w14:paraId="3BFC6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722" w:type="pct"/>
            <w:tcBorders>
              <w:top w:val="single" w:color="3E3E3E" w:sz="6" w:space="0"/>
              <w:left w:val="single" w:color="3E3E3E" w:sz="6" w:space="0"/>
              <w:bottom w:val="single" w:color="3E3E3E" w:sz="6" w:space="0"/>
              <w:right w:val="single" w:color="3E3E3E" w:sz="6" w:space="0"/>
            </w:tcBorders>
            <w:shd w:val="clear"/>
            <w:vAlign w:val="center"/>
          </w:tcPr>
          <w:p w14:paraId="1B747E3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文化保护传承利用工程专项</w:t>
            </w:r>
          </w:p>
        </w:tc>
        <w:tc>
          <w:tcPr>
            <w:tcW w:w="1276" w:type="pct"/>
            <w:tcBorders>
              <w:top w:val="single" w:color="3E3E3E" w:sz="6" w:space="0"/>
              <w:left w:val="single" w:color="3E3E3E" w:sz="6" w:space="0"/>
              <w:bottom w:val="single" w:color="3E3E3E" w:sz="6" w:space="0"/>
              <w:right w:val="single" w:color="3E3E3E" w:sz="6" w:space="0"/>
            </w:tcBorders>
            <w:shd w:val="clear"/>
            <w:vAlign w:val="center"/>
          </w:tcPr>
          <w:p w14:paraId="114E42A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《修订印发&lt;文化保护传承利用工程实施方案&gt;的通知》（发改社会〔2024〕374号）</w:t>
            </w:r>
          </w:p>
        </w:tc>
        <w:tc>
          <w:tcPr>
            <w:tcW w:w="1231" w:type="pct"/>
            <w:tcBorders>
              <w:top w:val="single" w:color="3E3E3E" w:sz="6" w:space="0"/>
              <w:left w:val="single" w:color="3E3E3E" w:sz="6" w:space="0"/>
              <w:bottom w:val="single" w:color="3E3E3E" w:sz="6" w:space="0"/>
              <w:right w:val="single" w:color="3E3E3E" w:sz="6" w:space="0"/>
            </w:tcBorders>
            <w:shd w:val="clear"/>
            <w:vAlign w:val="center"/>
          </w:tcPr>
          <w:p w14:paraId="3EA44FB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文化遗产保护、自然遗产展示、公共文化与现代文明展示</w:t>
            </w:r>
          </w:p>
        </w:tc>
        <w:tc>
          <w:tcPr>
            <w:tcW w:w="920" w:type="pct"/>
            <w:tcBorders>
              <w:top w:val="single" w:color="3E3E3E" w:sz="6" w:space="0"/>
              <w:left w:val="single" w:color="3E3E3E" w:sz="6" w:space="0"/>
              <w:bottom w:val="single" w:color="3E3E3E" w:sz="6" w:space="0"/>
              <w:right w:val="single" w:color="3E3E3E" w:sz="6" w:space="0"/>
            </w:tcBorders>
            <w:shd w:val="clear"/>
            <w:vAlign w:val="center"/>
          </w:tcPr>
          <w:p w14:paraId="0861D2E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原则上不超工程投资60%；单个项目最高限额5000万元-3亿元</w:t>
            </w:r>
          </w:p>
        </w:tc>
        <w:tc>
          <w:tcPr>
            <w:tcW w:w="849" w:type="pct"/>
            <w:tcBorders>
              <w:top w:val="single" w:color="3E3E3E" w:sz="6" w:space="0"/>
              <w:left w:val="single" w:color="3E3E3E" w:sz="6" w:space="0"/>
              <w:bottom w:val="single" w:color="3E3E3E" w:sz="6" w:space="0"/>
              <w:right w:val="single" w:color="3E3E3E" w:sz="6" w:space="0"/>
            </w:tcBorders>
            <w:shd w:val="clear"/>
            <w:vAlign w:val="center"/>
          </w:tcPr>
          <w:p w14:paraId="72BFE6F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纳入国家级文化自然遗产规划，突出公益属性</w:t>
            </w:r>
          </w:p>
        </w:tc>
      </w:tr>
      <w:tr w14:paraId="41ACB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722" w:type="pct"/>
            <w:tcBorders>
              <w:top w:val="single" w:color="3E3E3E" w:sz="6" w:space="0"/>
              <w:left w:val="single" w:color="3E3E3E" w:sz="6" w:space="0"/>
              <w:bottom w:val="single" w:color="3E3E3E" w:sz="6" w:space="0"/>
              <w:right w:val="single" w:color="3E3E3E" w:sz="6" w:space="0"/>
            </w:tcBorders>
            <w:shd w:val="clear"/>
            <w:vAlign w:val="center"/>
          </w:tcPr>
          <w:p w14:paraId="51BBE10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社会服务设施建设支持工程专项</w:t>
            </w:r>
          </w:p>
        </w:tc>
        <w:tc>
          <w:tcPr>
            <w:tcW w:w="1276" w:type="pct"/>
            <w:tcBorders>
              <w:top w:val="single" w:color="3E3E3E" w:sz="6" w:space="0"/>
              <w:left w:val="single" w:color="3E3E3E" w:sz="6" w:space="0"/>
              <w:bottom w:val="single" w:color="3E3E3E" w:sz="6" w:space="0"/>
              <w:right w:val="single" w:color="3E3E3E" w:sz="6" w:space="0"/>
            </w:tcBorders>
            <w:shd w:val="clear"/>
            <w:vAlign w:val="center"/>
          </w:tcPr>
          <w:p w14:paraId="320AB0E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《关于修订印发社会领域中央预算内投资相关专项管理办法的通知》（发改社会规〔2024〕284号）</w:t>
            </w:r>
          </w:p>
        </w:tc>
        <w:tc>
          <w:tcPr>
            <w:tcW w:w="1231" w:type="pct"/>
            <w:tcBorders>
              <w:top w:val="single" w:color="3E3E3E" w:sz="6" w:space="0"/>
              <w:left w:val="single" w:color="3E3E3E" w:sz="6" w:space="0"/>
              <w:bottom w:val="single" w:color="3E3E3E" w:sz="6" w:space="0"/>
              <w:right w:val="single" w:color="3E3E3E" w:sz="6" w:space="0"/>
            </w:tcBorders>
            <w:shd w:val="clear"/>
            <w:vAlign w:val="center"/>
          </w:tcPr>
          <w:p w14:paraId="0E1C027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社会福利、退役军人服务、残疾人服务、全民健身设施</w:t>
            </w:r>
          </w:p>
        </w:tc>
        <w:tc>
          <w:tcPr>
            <w:tcW w:w="920" w:type="pct"/>
            <w:tcBorders>
              <w:top w:val="single" w:color="3E3E3E" w:sz="6" w:space="0"/>
              <w:left w:val="single" w:color="3E3E3E" w:sz="6" w:space="0"/>
              <w:bottom w:val="single" w:color="3E3E3E" w:sz="6" w:space="0"/>
              <w:right w:val="single" w:color="3E3E3E" w:sz="6" w:space="0"/>
            </w:tcBorders>
            <w:shd w:val="clear"/>
            <w:vAlign w:val="center"/>
          </w:tcPr>
          <w:p w14:paraId="35A8BA4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原则上不超平均投资60%；改建项目补助减半</w:t>
            </w:r>
          </w:p>
        </w:tc>
        <w:tc>
          <w:tcPr>
            <w:tcW w:w="849" w:type="pct"/>
            <w:tcBorders>
              <w:top w:val="single" w:color="3E3E3E" w:sz="6" w:space="0"/>
              <w:left w:val="single" w:color="3E3E3E" w:sz="6" w:space="0"/>
              <w:bottom w:val="single" w:color="3E3E3E" w:sz="6" w:space="0"/>
              <w:right w:val="single" w:color="3E3E3E" w:sz="6" w:space="0"/>
            </w:tcBorders>
            <w:shd w:val="clear"/>
            <w:vAlign w:val="center"/>
          </w:tcPr>
          <w:p w14:paraId="44C2F98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纳入社会服务、全民健身专项规划，补齐区域短板</w:t>
            </w:r>
          </w:p>
        </w:tc>
      </w:tr>
      <w:tr w14:paraId="27CA8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722" w:type="pct"/>
            <w:tcBorders>
              <w:top w:val="single" w:color="3E3E3E" w:sz="6" w:space="0"/>
              <w:left w:val="single" w:color="3E3E3E" w:sz="6" w:space="0"/>
              <w:bottom w:val="single" w:color="3E3E3E" w:sz="6" w:space="0"/>
              <w:right w:val="single" w:color="3E3E3E" w:sz="6" w:space="0"/>
            </w:tcBorders>
            <w:shd w:val="clear"/>
            <w:vAlign w:val="center"/>
          </w:tcPr>
          <w:p w14:paraId="2A17CC7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积极应对人口老龄化工程和托育建设专项</w:t>
            </w:r>
          </w:p>
        </w:tc>
        <w:tc>
          <w:tcPr>
            <w:tcW w:w="1276" w:type="pct"/>
            <w:tcBorders>
              <w:top w:val="single" w:color="3E3E3E" w:sz="6" w:space="0"/>
              <w:left w:val="single" w:color="3E3E3E" w:sz="6" w:space="0"/>
              <w:bottom w:val="single" w:color="3E3E3E" w:sz="6" w:space="0"/>
              <w:right w:val="single" w:color="3E3E3E" w:sz="6" w:space="0"/>
            </w:tcBorders>
            <w:shd w:val="clear"/>
            <w:vAlign w:val="center"/>
          </w:tcPr>
          <w:p w14:paraId="5AF6670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《关于修订印发社会领域中央预算内投资相关专项管理办法的通知》（发改社会规〔2024〕284号）</w:t>
            </w:r>
          </w:p>
        </w:tc>
        <w:tc>
          <w:tcPr>
            <w:tcW w:w="1231" w:type="pct"/>
            <w:tcBorders>
              <w:top w:val="single" w:color="3E3E3E" w:sz="6" w:space="0"/>
              <w:left w:val="single" w:color="3E3E3E" w:sz="6" w:space="0"/>
              <w:bottom w:val="single" w:color="3E3E3E" w:sz="6" w:space="0"/>
              <w:right w:val="single" w:color="3E3E3E" w:sz="6" w:space="0"/>
            </w:tcBorders>
            <w:shd w:val="clear"/>
            <w:vAlign w:val="center"/>
          </w:tcPr>
          <w:p w14:paraId="05B5338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公办养老托育能力提升、普惠养老托育示范、产粮大县养老托育项目</w:t>
            </w:r>
          </w:p>
        </w:tc>
        <w:tc>
          <w:tcPr>
            <w:tcW w:w="920" w:type="pct"/>
            <w:tcBorders>
              <w:top w:val="single" w:color="3E3E3E" w:sz="6" w:space="0"/>
              <w:left w:val="single" w:color="3E3E3E" w:sz="6" w:space="0"/>
              <w:bottom w:val="single" w:color="3E3E3E" w:sz="6" w:space="0"/>
              <w:right w:val="single" w:color="3E3E3E" w:sz="6" w:space="0"/>
            </w:tcBorders>
            <w:shd w:val="clear"/>
            <w:vAlign w:val="center"/>
          </w:tcPr>
          <w:p w14:paraId="61BC26C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公办项目不超总投资60%；普惠类按床位/托位定额补助</w:t>
            </w:r>
          </w:p>
        </w:tc>
        <w:tc>
          <w:tcPr>
            <w:tcW w:w="849" w:type="pct"/>
            <w:tcBorders>
              <w:top w:val="single" w:color="3E3E3E" w:sz="6" w:space="0"/>
              <w:left w:val="single" w:color="3E3E3E" w:sz="6" w:space="0"/>
              <w:bottom w:val="single" w:color="3E3E3E" w:sz="6" w:space="0"/>
              <w:right w:val="single" w:color="3E3E3E" w:sz="6" w:space="0"/>
            </w:tcBorders>
            <w:shd w:val="clear"/>
            <w:vAlign w:val="center"/>
          </w:tcPr>
          <w:p w14:paraId="14E6F62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公办项目由公立机构实施，普惠项目需具备示范效应</w:t>
            </w:r>
          </w:p>
        </w:tc>
      </w:tr>
      <w:tr w14:paraId="2AEC5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722" w:type="pct"/>
            <w:tcBorders>
              <w:top w:val="single" w:color="3E3E3E" w:sz="6" w:space="0"/>
              <w:left w:val="single" w:color="3E3E3E" w:sz="6" w:space="0"/>
              <w:bottom w:val="single" w:color="3E3E3E" w:sz="6" w:space="0"/>
              <w:right w:val="single" w:color="3E3E3E" w:sz="6" w:space="0"/>
            </w:tcBorders>
            <w:shd w:val="clear"/>
            <w:vAlign w:val="center"/>
          </w:tcPr>
          <w:p w14:paraId="1795A70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粮食等重要农产品仓储设施专项</w:t>
            </w:r>
          </w:p>
        </w:tc>
        <w:tc>
          <w:tcPr>
            <w:tcW w:w="1276" w:type="pct"/>
            <w:tcBorders>
              <w:top w:val="single" w:color="3E3E3E" w:sz="6" w:space="0"/>
              <w:left w:val="single" w:color="3E3E3E" w:sz="6" w:space="0"/>
              <w:bottom w:val="single" w:color="3E3E3E" w:sz="6" w:space="0"/>
              <w:right w:val="single" w:color="3E3E3E" w:sz="6" w:space="0"/>
            </w:tcBorders>
            <w:shd w:val="clear"/>
            <w:vAlign w:val="center"/>
          </w:tcPr>
          <w:p w14:paraId="0294259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《粮食等重要农产品仓储设施中央预算内投资专项管理办法》（发改经贸规〔2023〕1756号）</w:t>
            </w:r>
          </w:p>
        </w:tc>
        <w:tc>
          <w:tcPr>
            <w:tcW w:w="1231" w:type="pct"/>
            <w:tcBorders>
              <w:top w:val="single" w:color="3E3E3E" w:sz="6" w:space="0"/>
              <w:left w:val="single" w:color="3E3E3E" w:sz="6" w:space="0"/>
              <w:bottom w:val="single" w:color="3E3E3E" w:sz="6" w:space="0"/>
              <w:right w:val="single" w:color="3E3E3E" w:sz="6" w:space="0"/>
            </w:tcBorders>
            <w:shd w:val="clear"/>
            <w:vAlign w:val="center"/>
          </w:tcPr>
          <w:p w14:paraId="3515A29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中央储备粮棉糖仓储、地方粮食储备库、粮食物流节点、粮库升级改造</w:t>
            </w:r>
          </w:p>
        </w:tc>
        <w:tc>
          <w:tcPr>
            <w:tcW w:w="920" w:type="pct"/>
            <w:tcBorders>
              <w:top w:val="single" w:color="3E3E3E" w:sz="6" w:space="0"/>
              <w:left w:val="single" w:color="3E3E3E" w:sz="6" w:space="0"/>
              <w:bottom w:val="single" w:color="3E3E3E" w:sz="6" w:space="0"/>
              <w:right w:val="single" w:color="3E3E3E" w:sz="6" w:space="0"/>
            </w:tcBorders>
            <w:shd w:val="clear"/>
            <w:vAlign w:val="center"/>
          </w:tcPr>
          <w:p w14:paraId="5567B9E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中央储备类不超70%；地方项目不超30%</w:t>
            </w:r>
          </w:p>
        </w:tc>
        <w:tc>
          <w:tcPr>
            <w:tcW w:w="849" w:type="pct"/>
            <w:tcBorders>
              <w:top w:val="single" w:color="3E3E3E" w:sz="6" w:space="0"/>
              <w:left w:val="single" w:color="3E3E3E" w:sz="6" w:space="0"/>
              <w:bottom w:val="single" w:color="3E3E3E" w:sz="6" w:space="0"/>
              <w:right w:val="single" w:color="3E3E3E" w:sz="6" w:space="0"/>
            </w:tcBorders>
            <w:shd w:val="clear"/>
            <w:vAlign w:val="center"/>
          </w:tcPr>
          <w:p w14:paraId="1FF633C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sz w:val="22"/>
                <w:szCs w:val="22"/>
              </w:rPr>
            </w:pPr>
            <w:r>
              <w:rPr>
                <w:sz w:val="22"/>
                <w:szCs w:val="22"/>
                <w:bdr w:val="none" w:color="auto" w:sz="0" w:space="0"/>
              </w:rPr>
              <w:t>需承担政府储备任务，满足仓容、中转量规模要求</w:t>
            </w:r>
          </w:p>
        </w:tc>
      </w:tr>
    </w:tbl>
    <w:p w14:paraId="7368F52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both"/>
        <w:rPr>
          <w:rStyle w:val="6"/>
        </w:rPr>
      </w:pPr>
    </w:p>
    <w:p w14:paraId="019FEAB6">
      <w:pPr>
        <w:pStyle w:val="3"/>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Microsoft YaHei UI" w:hAnsi="Microsoft YaHei UI" w:eastAsia="Microsoft YaHei UI" w:cs="Microsoft YaHei UI"/>
          <w:b/>
          <w:bCs/>
          <w:i w:val="0"/>
          <w:iCs w:val="0"/>
          <w:caps w:val="0"/>
          <w:spacing w:val="8"/>
          <w:kern w:val="44"/>
          <w:sz w:val="33"/>
          <w:szCs w:val="33"/>
          <w:shd w:val="clear" w:fill="FFFFFF"/>
          <w:lang w:val="en-US" w:eastAsia="zh-CN" w:bidi="ar"/>
        </w:rPr>
      </w:pPr>
      <w:r>
        <w:rPr>
          <w:rFonts w:hint="eastAsia" w:ascii="Microsoft YaHei UI" w:hAnsi="Microsoft YaHei UI" w:eastAsia="Microsoft YaHei UI" w:cs="Microsoft YaHei UI"/>
          <w:b/>
          <w:bCs/>
          <w:i w:val="0"/>
          <w:iCs w:val="0"/>
          <w:caps w:val="0"/>
          <w:spacing w:val="8"/>
          <w:kern w:val="44"/>
          <w:sz w:val="33"/>
          <w:szCs w:val="33"/>
          <w:shd w:val="clear" w:fill="FFFFFF"/>
          <w:lang w:val="en-US" w:eastAsia="zh-CN" w:bidi="ar"/>
        </w:rPr>
        <w:t>申报通用合规要求</w:t>
      </w:r>
    </w:p>
    <w:p w14:paraId="3221F704">
      <w:pPr>
        <w:pStyle w:val="3"/>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right="0" w:rightChars="0"/>
        <w:jc w:val="both"/>
        <w:rPr>
          <w:rFonts w:hint="eastAsia" w:ascii="Microsoft YaHei UI" w:hAnsi="Microsoft YaHei UI" w:eastAsia="Microsoft YaHei UI" w:cs="Microsoft YaHei UI"/>
          <w:b/>
          <w:bCs/>
          <w:i w:val="0"/>
          <w:iCs w:val="0"/>
          <w:caps w:val="0"/>
          <w:spacing w:val="8"/>
          <w:kern w:val="44"/>
          <w:sz w:val="33"/>
          <w:szCs w:val="33"/>
          <w:shd w:val="clear" w:fill="FFFFFF"/>
          <w:lang w:val="en-US" w:eastAsia="zh-CN" w:bidi="ar"/>
        </w:rPr>
      </w:pPr>
    </w:p>
    <w:p w14:paraId="0983A9C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both"/>
      </w:pPr>
      <w:r>
        <w:rPr>
          <w:rStyle w:val="6"/>
          <w:rFonts w:hint="eastAsia" w:ascii="Microsoft YaHei UI" w:hAnsi="Microsoft YaHei UI" w:eastAsia="Microsoft YaHei UI" w:cs="Microsoft YaHei UI"/>
          <w:i w:val="0"/>
          <w:iCs w:val="0"/>
          <w:caps w:val="0"/>
          <w:color w:val="003783"/>
          <w:spacing w:val="8"/>
          <w:bdr w:val="none" w:color="auto" w:sz="0" w:space="0"/>
          <w:shd w:val="clear" w:fill="FFFFFF"/>
        </w:rPr>
        <w:t>1.规划前置：</w:t>
      </w:r>
      <w:r>
        <w:rPr>
          <w:rFonts w:hint="eastAsia" w:ascii="Microsoft YaHei UI" w:hAnsi="Microsoft YaHei UI" w:eastAsia="Microsoft YaHei UI" w:cs="Microsoft YaHei UI"/>
          <w:i w:val="0"/>
          <w:iCs w:val="0"/>
          <w:caps w:val="0"/>
          <w:spacing w:val="8"/>
          <w:bdr w:val="none" w:color="auto" w:sz="0" w:space="0"/>
          <w:shd w:val="clear" w:fill="FFFFFF"/>
        </w:rPr>
        <w:t>所有项目须符合国家级行业专项规划，部分专项需纳入地方年度建设方案，无规划依据项目不予支持。</w:t>
      </w:r>
    </w:p>
    <w:p w14:paraId="0EB9AE3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both"/>
      </w:pPr>
      <w:r>
        <w:rPr>
          <w:rStyle w:val="6"/>
          <w:rFonts w:hint="eastAsia" w:ascii="Microsoft YaHei UI" w:hAnsi="Microsoft YaHei UI" w:eastAsia="Microsoft YaHei UI" w:cs="Microsoft YaHei UI"/>
          <w:i w:val="0"/>
          <w:iCs w:val="0"/>
          <w:caps w:val="0"/>
          <w:color w:val="003783"/>
          <w:spacing w:val="8"/>
          <w:bdr w:val="none" w:color="auto" w:sz="0" w:space="0"/>
          <w:shd w:val="clear" w:fill="FFFFFF"/>
        </w:rPr>
        <w:t>2.材料规范：</w:t>
      </w:r>
      <w:r>
        <w:rPr>
          <w:rFonts w:hint="eastAsia" w:ascii="Microsoft YaHei UI" w:hAnsi="Microsoft YaHei UI" w:eastAsia="Microsoft YaHei UI" w:cs="Microsoft YaHei UI"/>
          <w:i w:val="0"/>
          <w:iCs w:val="0"/>
          <w:caps w:val="0"/>
          <w:spacing w:val="8"/>
          <w:bdr w:val="none" w:color="auto" w:sz="0" w:space="0"/>
          <w:shd w:val="clear" w:fill="FFFFFF"/>
        </w:rPr>
        <w:t>按专项要求对应编制初步设计、可行性研究报告或实施方案，县级统筹项目须以县级人民政府为申报主体。</w:t>
      </w:r>
    </w:p>
    <w:p w14:paraId="25BCA25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color w:val="003783"/>
          <w:spacing w:val="8"/>
          <w:bdr w:val="none" w:color="auto" w:sz="0" w:space="0"/>
          <w:shd w:val="clear" w:fill="FFFFFF"/>
        </w:rPr>
        <w:t>3.资金不重复：</w:t>
      </w:r>
      <w:r>
        <w:rPr>
          <w:rFonts w:hint="eastAsia" w:ascii="Microsoft YaHei UI" w:hAnsi="Microsoft YaHei UI" w:eastAsia="Microsoft YaHei UI" w:cs="Microsoft YaHei UI"/>
          <w:i w:val="0"/>
          <w:iCs w:val="0"/>
          <w:caps w:val="0"/>
          <w:spacing w:val="8"/>
          <w:bdr w:val="none" w:color="auto" w:sz="0" w:space="0"/>
          <w:shd w:val="clear" w:fill="FFFFFF"/>
        </w:rPr>
        <w:t>同一项目不得重复申报多类中央资金，已获同类中央资金支持的项目不得重复申请。</w:t>
      </w:r>
    </w:p>
    <w:p w14:paraId="051BDA0E"/>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8DF7C5D"/>
    <w:multiLevelType w:val="singleLevel"/>
    <w:tmpl w:val="68DF7C5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C4361D"/>
    <w:rsid w:val="30E006EB"/>
    <w:rsid w:val="62F51D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Emphasis"/>
    <w:basedOn w:val="5"/>
    <w:qFormat/>
    <w:uiPriority w:val="0"/>
    <w:rPr>
      <w:i/>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4</TotalTime>
  <ScaleCrop>false</ScaleCrop>
  <LinksUpToDate>false</LinksUpToDate>
  <CharactersWithSpaces>0</CharactersWithSpaces>
  <Application>WPS Office_12.1.0.26381_F1E327BC-269C-435d-A152-05C5408002CA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2026-07-18T07:32:15Z</dcterms:created>
  <dc:creator>Administrator</dc:creator>
  <cp:lastModifiedBy>曹争鸣</cp:lastModifiedBy>
  <dcterms:modified xsi:type="dcterms:W3CDTF">2026-07-18T07:37:12Z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2052-12.1.0.26381</vt:lpwstr>
  </property>
  <property fmtid="{D5CDD505-2E9C-101B-9397-08002B2CF9AE}" pid="3" name="KSOTemplateDocerSaveRecord">
    <vt:lpwstr>eyJoZGlkIjoiYzc4NmMwMGYxMjBlYzJmZmU5M2M2M2FjOTExNTM5ODgiLCJ1c2VySWQiOiIyNzQ5NjQyMjAifQ==</vt:lpwstr>
  </property>
  <property fmtid="{D5CDD505-2E9C-101B-9397-08002B2CF9AE}" pid="4" name="ICV">
    <vt:lpwstr>E73B646D2B3244CBA69DE3952FF16B37_12</vt:lpwstr>
  </property>
</Properties>
</file>