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FCB64">
      <w:pPr>
        <w:spacing w:line="240" w:lineRule="auto"/>
        <w:ind w:firstLine="0" w:firstLineChars="0"/>
        <w:jc w:val="right"/>
      </w:pPr>
    </w:p>
    <w:p w14:paraId="16866E8C">
      <w:pPr>
        <w:ind w:firstLine="0" w:firstLineChars="0"/>
        <w:jc w:val="center"/>
      </w:pPr>
    </w:p>
    <w:p w14:paraId="2E818AA9">
      <w:pPr>
        <w:ind w:firstLine="0" w:firstLineChars="0"/>
        <w:jc w:val="center"/>
      </w:pPr>
    </w:p>
    <w:p w14:paraId="2F784A8D">
      <w:pPr>
        <w:ind w:firstLine="0" w:firstLineChars="0"/>
        <w:jc w:val="center"/>
      </w:pPr>
    </w:p>
    <w:p w14:paraId="437AE779">
      <w:pPr>
        <w:ind w:firstLine="0" w:firstLineChars="0"/>
        <w:jc w:val="center"/>
      </w:pPr>
    </w:p>
    <w:p w14:paraId="55401C3C">
      <w:pPr>
        <w:ind w:firstLine="0" w:firstLineChars="0"/>
        <w:jc w:val="center"/>
      </w:pPr>
    </w:p>
    <w:p w14:paraId="61AB5324">
      <w:pPr>
        <w:pStyle w:val="23"/>
        <w:spacing w:line="560" w:lineRule="exact"/>
        <w:ind w:left="0" w:leftChars="0" w:right="0" w:rightChars="0"/>
        <w:rPr>
          <w:rFonts w:hint="eastAsia" w:ascii="方正小标宋_GBK" w:hAnsi="方正小标宋_GBK" w:eastAsia="方正小标宋_GBK" w:cs="方正小标宋_GBK"/>
        </w:rPr>
      </w:pPr>
      <w:bookmarkStart w:id="0" w:name="_Toc13416"/>
      <w:bookmarkStart w:id="1" w:name="_Toc18061"/>
      <w:bookmarkStart w:id="2" w:name="_Toc16795"/>
      <w:r>
        <w:rPr>
          <w:rFonts w:hint="eastAsia" w:ascii="方正小标宋_GBK" w:hAnsi="方正小标宋_GBK" w:eastAsia="方正小标宋_GBK" w:cs="方正小标宋_GBK"/>
        </w:rPr>
        <w:t>江苏省制造业企业</w:t>
      </w:r>
      <w:r>
        <w:rPr>
          <w:rFonts w:eastAsia="方正小标宋_GBK"/>
        </w:rPr>
        <w:t>Token</w:t>
      </w:r>
      <w:r>
        <w:rPr>
          <w:rFonts w:hint="eastAsia" w:ascii="方正小标宋_GBK" w:hAnsi="方正小标宋_GBK" w:eastAsia="方正小标宋_GBK" w:cs="方正小标宋_GBK"/>
        </w:rPr>
        <w:t>管理参考指引</w:t>
      </w:r>
      <w:bookmarkEnd w:id="0"/>
      <w:bookmarkEnd w:id="1"/>
      <w:bookmarkEnd w:id="2"/>
    </w:p>
    <w:p w14:paraId="6131C035">
      <w:pPr>
        <w:ind w:firstLine="640"/>
        <w:jc w:val="center"/>
      </w:pPr>
      <w:r>
        <w:rPr>
          <w:rFonts w:eastAsia="方正楷体_GBK"/>
        </w:rPr>
        <w:t>（</w:t>
      </w:r>
      <w:r>
        <w:rPr>
          <w:rFonts w:hint="eastAsia" w:eastAsia="方正楷体_GBK"/>
        </w:rPr>
        <w:t>2</w:t>
      </w:r>
      <w:r>
        <w:rPr>
          <w:rFonts w:eastAsia="方正楷体_GBK"/>
        </w:rPr>
        <w:t>02</w:t>
      </w:r>
      <w:r>
        <w:rPr>
          <w:rFonts w:hint="eastAsia" w:eastAsia="方正楷体_GBK"/>
        </w:rPr>
        <w:t>6</w:t>
      </w:r>
      <w:r>
        <w:rPr>
          <w:rFonts w:eastAsia="方正楷体_GBK"/>
        </w:rPr>
        <w:t>年版）</w:t>
      </w:r>
    </w:p>
    <w:p w14:paraId="5DD97B47">
      <w:pPr>
        <w:ind w:firstLine="640"/>
        <w:rPr>
          <w:rFonts w:hint="eastAsia" w:ascii="方正小标宋_GBK" w:hAnsi="方正小标宋_GBK" w:eastAsia="方正小标宋_GBK" w:cs="方正小标宋_GBK"/>
        </w:rPr>
      </w:pPr>
    </w:p>
    <w:p w14:paraId="3BE6CB5D">
      <w:pPr>
        <w:ind w:firstLine="640"/>
        <w:rPr>
          <w:rFonts w:hint="eastAsia" w:ascii="方正小标宋_GBK" w:hAnsi="方正小标宋_GBK" w:eastAsia="方正小标宋_GBK" w:cs="方正小标宋_GBK"/>
        </w:rPr>
      </w:pPr>
    </w:p>
    <w:p w14:paraId="172E3331">
      <w:pPr>
        <w:ind w:firstLine="640"/>
        <w:rPr>
          <w:rFonts w:hint="eastAsia" w:ascii="方正小标宋_GBK" w:hAnsi="方正小标宋_GBK" w:eastAsia="方正小标宋_GBK" w:cs="方正小标宋_GBK"/>
        </w:rPr>
      </w:pPr>
    </w:p>
    <w:p w14:paraId="2B68988C">
      <w:pPr>
        <w:ind w:firstLine="640"/>
        <w:rPr>
          <w:rFonts w:hint="eastAsia" w:ascii="方正小标宋_GBK" w:hAnsi="方正小标宋_GBK" w:eastAsia="方正小标宋_GBK" w:cs="方正小标宋_GBK"/>
        </w:rPr>
      </w:pPr>
    </w:p>
    <w:p w14:paraId="0B55F9D9">
      <w:pPr>
        <w:ind w:firstLine="640"/>
        <w:rPr>
          <w:rFonts w:hint="eastAsia" w:ascii="方正小标宋_GBK" w:hAnsi="方正小标宋_GBK" w:eastAsia="方正小标宋_GBK" w:cs="方正小标宋_GBK"/>
        </w:rPr>
      </w:pPr>
    </w:p>
    <w:p w14:paraId="57C855C4">
      <w:pPr>
        <w:ind w:firstLine="640"/>
        <w:rPr>
          <w:rFonts w:hint="eastAsia" w:ascii="方正小标宋_GBK" w:hAnsi="方正小标宋_GBK" w:eastAsia="方正小标宋_GBK" w:cs="方正小标宋_GBK"/>
        </w:rPr>
      </w:pPr>
    </w:p>
    <w:p w14:paraId="28241924">
      <w:pPr>
        <w:ind w:firstLine="640"/>
        <w:rPr>
          <w:rFonts w:hint="eastAsia" w:ascii="方正小标宋_GBK" w:hAnsi="方正小标宋_GBK" w:eastAsia="方正小标宋_GBK" w:cs="方正小标宋_GBK"/>
        </w:rPr>
      </w:pPr>
    </w:p>
    <w:p w14:paraId="3A5F570E">
      <w:pPr>
        <w:ind w:firstLine="640"/>
        <w:rPr>
          <w:rFonts w:hint="eastAsia" w:ascii="方正小标宋_GBK" w:hAnsi="方正小标宋_GBK" w:eastAsia="方正小标宋_GBK" w:cs="方正小标宋_GBK"/>
        </w:rPr>
      </w:pPr>
    </w:p>
    <w:p w14:paraId="663708FD">
      <w:pPr>
        <w:ind w:firstLine="640"/>
        <w:rPr>
          <w:rFonts w:hint="eastAsia" w:ascii="方正小标宋_GBK" w:hAnsi="方正小标宋_GBK" w:eastAsia="方正小标宋_GBK" w:cs="方正小标宋_GBK"/>
        </w:rPr>
      </w:pPr>
    </w:p>
    <w:p w14:paraId="1E001A80">
      <w:pPr>
        <w:ind w:firstLine="640"/>
        <w:rPr>
          <w:rFonts w:hint="eastAsia" w:ascii="方正小标宋_GBK" w:hAnsi="方正小标宋_GBK" w:eastAsia="方正小标宋_GBK" w:cs="方正小标宋_GBK"/>
        </w:rPr>
      </w:pPr>
    </w:p>
    <w:p w14:paraId="07546C43">
      <w:pPr>
        <w:ind w:firstLine="640"/>
        <w:rPr>
          <w:rFonts w:hint="eastAsia" w:ascii="方正小标宋_GBK" w:hAnsi="方正小标宋_GBK" w:eastAsia="方正小标宋_GBK" w:cs="方正小标宋_GBK"/>
        </w:rPr>
      </w:pPr>
    </w:p>
    <w:p w14:paraId="42E457F3">
      <w:pPr>
        <w:ind w:firstLine="640"/>
        <w:rPr>
          <w:rFonts w:hint="eastAsia" w:ascii="方正小标宋_GBK" w:hAnsi="方正小标宋_GBK" w:eastAsia="方正小标宋_GBK" w:cs="方正小标宋_GBK"/>
        </w:rPr>
      </w:pPr>
    </w:p>
    <w:p w14:paraId="28D06293">
      <w:pPr>
        <w:ind w:firstLine="0" w:firstLineChars="0"/>
        <w:jc w:val="center"/>
        <w:rPr>
          <w:rFonts w:hint="eastAsia" w:ascii="方正楷体_GBK" w:hAnsi="方正小标宋_GBK" w:eastAsia="方正楷体_GBK" w:cs="方正小标宋_GBK"/>
        </w:rPr>
      </w:pPr>
      <w:r>
        <w:rPr>
          <w:rFonts w:hint="eastAsia" w:ascii="方正楷体_GBK" w:hAnsi="方正小标宋_GBK" w:eastAsia="方正楷体_GBK" w:cs="方正小标宋_GBK"/>
        </w:rPr>
        <w:t>江苏省工业和信息化厅</w:t>
      </w:r>
    </w:p>
    <w:p w14:paraId="1205EE9D">
      <w:pPr>
        <w:ind w:firstLine="0" w:firstLineChars="0"/>
        <w:jc w:val="center"/>
        <w:rPr>
          <w:rFonts w:hint="eastAsia" w:ascii="方正楷体_GBK" w:eastAsia="方正楷体_GBK" w:cs="Times New Roman"/>
        </w:rPr>
      </w:pPr>
      <w:r>
        <w:rPr>
          <w:rFonts w:hint="eastAsia" w:ascii="方正楷体_GBK" w:eastAsia="方正楷体_GBK" w:cs="Times New Roman"/>
        </w:rPr>
        <w:t>2026年</w:t>
      </w:r>
      <w:r>
        <w:rPr>
          <w:rFonts w:hint="eastAsia" w:ascii="方正楷体_GBK" w:eastAsia="方正楷体_GBK" w:cs="Times New Roman"/>
          <w:lang w:val="en-US" w:eastAsia="zh-CN"/>
        </w:rPr>
        <w:t>9</w:t>
      </w:r>
      <w:r>
        <w:rPr>
          <w:rFonts w:hint="eastAsia" w:ascii="方正楷体_GBK" w:eastAsia="方正楷体_GBK" w:cs="Times New Roman"/>
        </w:rPr>
        <w:t>月</w:t>
      </w:r>
    </w:p>
    <w:p w14:paraId="26BC86CD">
      <w:pPr>
        <w:ind w:firstLine="640"/>
        <w:rPr>
          <w:rFonts w:hint="eastAsia" w:ascii="方正小标宋_GBK" w:hAnsi="方正小标宋_GBK" w:eastAsia="方正小标宋_GBK" w:cs="方正小标宋_GBK"/>
        </w:rPr>
      </w:pPr>
    </w:p>
    <w:p w14:paraId="46649545">
      <w:pPr>
        <w:pStyle w:val="2"/>
        <w:ind w:firstLine="0" w:firstLineChars="0"/>
        <w:jc w:val="center"/>
        <w:sectPr>
          <w:headerReference r:id="rId7" w:type="first"/>
          <w:footerReference r:id="rId10" w:type="first"/>
          <w:headerReference r:id="rId5" w:type="default"/>
          <w:footerReference r:id="rId8" w:type="default"/>
          <w:headerReference r:id="rId6" w:type="even"/>
          <w:footerReference r:id="rId9" w:type="even"/>
          <w:endnotePr>
            <w:numFmt w:val="decimal"/>
          </w:endnotePr>
          <w:pgSz w:w="11906" w:h="16838"/>
          <w:pgMar w:top="1440" w:right="1800" w:bottom="1440" w:left="1800" w:header="851" w:footer="992" w:gutter="0"/>
          <w:pgNumType w:start="1"/>
          <w:cols w:space="425" w:num="1"/>
          <w:docGrid w:type="lines" w:linePitch="312" w:charSpace="0"/>
        </w:sectPr>
      </w:pPr>
    </w:p>
    <w:p w14:paraId="53A429D2">
      <w:pPr>
        <w:ind w:left="0" w:leftChars="0" w:firstLine="0" w:firstLineChars="0"/>
        <w:jc w:val="center"/>
        <w:rPr>
          <w:rFonts w:hint="eastAsia" w:ascii="方正黑体_GBK" w:hAnsi="黑体" w:eastAsia="方正黑体_GBK" w:cs="黑体"/>
          <w:sz w:val="36"/>
          <w:szCs w:val="28"/>
        </w:rPr>
      </w:pPr>
    </w:p>
    <w:p w14:paraId="67A9131D">
      <w:pPr>
        <w:ind w:left="0" w:leftChars="0" w:firstLine="0" w:firstLineChars="0"/>
        <w:jc w:val="center"/>
        <w:rPr>
          <w:rFonts w:hint="eastAsia" w:ascii="方正黑体_GBK" w:eastAsia="方正黑体_GBK"/>
          <w:sz w:val="36"/>
          <w:szCs w:val="28"/>
        </w:rPr>
      </w:pPr>
      <w:r>
        <w:rPr>
          <w:rFonts w:hint="eastAsia" w:ascii="方正黑体_GBK" w:hAnsi="黑体" w:eastAsia="方正黑体_GBK" w:cs="黑体"/>
          <w:sz w:val="36"/>
          <w:szCs w:val="28"/>
        </w:rPr>
        <w:t>目</w:t>
      </w:r>
      <w:r>
        <w:rPr>
          <w:rFonts w:hint="eastAsia" w:ascii="方正黑体_GBK" w:hAnsi="黑体" w:eastAsia="方正黑体_GBK" w:cs="黑体"/>
          <w:sz w:val="36"/>
          <w:szCs w:val="28"/>
          <w:lang w:val="en-US" w:eastAsia="zh-CN"/>
        </w:rPr>
        <w:t xml:space="preserve">  </w:t>
      </w:r>
      <w:r>
        <w:rPr>
          <w:rFonts w:hint="eastAsia" w:ascii="方正黑体_GBK" w:hAnsi="黑体" w:eastAsia="方正黑体_GBK" w:cs="黑体"/>
          <w:sz w:val="36"/>
          <w:szCs w:val="28"/>
        </w:rPr>
        <w:t>录</w:t>
      </w:r>
    </w:p>
    <w:sdt>
      <w:sdtPr>
        <w:rPr>
          <w:rFonts w:ascii="宋体" w:hAnsi="宋体" w:eastAsia="宋体"/>
          <w:sz w:val="21"/>
          <w14:ligatures w14:val="standardContextual"/>
        </w:rPr>
        <w:id w:val="147473424"/>
        <w15:color w:val="DBDBDB"/>
        <w:docPartObj>
          <w:docPartGallery w:val="Table of Contents"/>
          <w:docPartUnique/>
        </w:docPartObj>
      </w:sdtPr>
      <w:sdtEndPr>
        <w:rPr>
          <w:rFonts w:hint="eastAsia" w:ascii="Times New Roman" w:hAnsi="Times New Roman" w:eastAsia="方正仿宋_GBK"/>
          <w:sz w:val="32"/>
          <w14:ligatures w14:val="standardContextual"/>
        </w:rPr>
      </w:sdtEndPr>
      <w:sdtContent>
        <w:p w14:paraId="7D9010D1">
          <w:pPr>
            <w:pStyle w:val="18"/>
            <w:tabs>
              <w:tab w:val="right" w:leader="dot" w:pos="8306"/>
            </w:tabs>
            <w:spacing w:line="590" w:lineRule="exact"/>
            <w:rPr>
              <w:rFonts w:hint="eastAsia"/>
            </w:rPr>
          </w:pPr>
          <w:r>
            <w:rPr>
              <w:rFonts w:hint="eastAsia"/>
            </w:rPr>
            <w:fldChar w:fldCharType="begin"/>
          </w:r>
          <w:r>
            <w:rPr>
              <w:rFonts w:hint="eastAsia"/>
            </w:rPr>
            <w:instrText xml:space="preserve">TOC \o "1-3" \h \u </w:instrText>
          </w:r>
          <w:r>
            <w:rPr>
              <w:rFonts w:hint="eastAsia"/>
            </w:rPr>
            <w:fldChar w:fldCharType="separate"/>
          </w:r>
        </w:p>
        <w:p w14:paraId="368B39A7">
          <w:pPr>
            <w:pStyle w:val="18"/>
            <w:tabs>
              <w:tab w:val="right" w:leader="dot" w:pos="8306"/>
            </w:tabs>
            <w:spacing w:line="590" w:lineRule="exact"/>
            <w:rPr>
              <w:rFonts w:ascii="Times New Roman" w:hAnsi="Times New Roman" w:cs="Times New Roman"/>
            </w:rPr>
          </w:pPr>
          <w:r>
            <w:fldChar w:fldCharType="begin"/>
          </w:r>
          <w:r>
            <w:instrText xml:space="preserve"> HYPERLINK \l "_Toc12778" </w:instrText>
          </w:r>
          <w:r>
            <w:fldChar w:fldCharType="separate"/>
          </w:r>
          <w:r>
            <w:rPr>
              <w:rFonts w:ascii="Times New Roman" w:hAnsi="Times New Roman" w:cs="Times New Roman"/>
            </w:rPr>
            <w:t>一、Token管理的核心内容</w:t>
          </w:r>
          <w:r>
            <w:rPr>
              <w:rFonts w:hint="eastAsia" w:ascii="Times New Roman" w:hAnsi="Times New Roman" w:cs="Times New Roman"/>
            </w:rPr>
            <w:tab/>
          </w:r>
          <w:r>
            <w:rPr>
              <w:rFonts w:hint="eastAsia" w:ascii="Times New Roman" w:hAnsi="Times New Roman" w:cs="Times New Roman"/>
            </w:rPr>
            <w:fldChar w:fldCharType="begin"/>
          </w:r>
          <w:r>
            <w:rPr>
              <w:rFonts w:hint="eastAsia" w:ascii="Times New Roman" w:hAnsi="Times New Roman" w:cs="Times New Roman"/>
            </w:rPr>
            <w:instrText xml:space="preserve"> PAGEREF _Toc12778 \h </w:instrText>
          </w:r>
          <w:r>
            <w:rPr>
              <w:rFonts w:hint="eastAsia" w:ascii="Times New Roman" w:hAnsi="Times New Roman" w:cs="Times New Roman"/>
            </w:rPr>
            <w:fldChar w:fldCharType="separate"/>
          </w:r>
          <w:r>
            <w:rPr>
              <w:rFonts w:ascii="Times New Roman" w:hAnsi="Times New Roman" w:cs="Times New Roman"/>
            </w:rPr>
            <w:t>1</w:t>
          </w:r>
          <w:r>
            <w:rPr>
              <w:rFonts w:hint="eastAsia" w:ascii="Times New Roman" w:hAnsi="Times New Roman" w:cs="Times New Roman"/>
            </w:rPr>
            <w:fldChar w:fldCharType="end"/>
          </w:r>
          <w:r>
            <w:rPr>
              <w:rFonts w:hint="eastAsia" w:ascii="Times New Roman" w:hAnsi="Times New Roman" w:cs="Times New Roman"/>
            </w:rPr>
            <w:fldChar w:fldCharType="end"/>
          </w:r>
        </w:p>
        <w:p w14:paraId="4E465E0E">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"_Toc23321" </w:instrText>
          </w:r>
          <w:r>
            <w:fldChar w:fldCharType="separate"/>
          </w:r>
          <w:r>
            <w:rPr>
              <w:rFonts w:ascii="Times New Roman" w:hAnsi="Times New Roman" w:cs="Times New Roman"/>
              <w:bCs/>
              <w:szCs w:val="32"/>
            </w:rPr>
            <w:t>（一）公有云API</w:t>
          </w:r>
          <w:r>
            <w:rPr>
              <w:rFonts w:ascii="Times New Roman" w:hAnsi="Times New Roman" w:cs="Times New Roman"/>
            </w:rPr>
            <w:t>模式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_Toc23321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14:paraId="088E5A8D">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"_Toc25588" </w:instrText>
          </w:r>
          <w:r>
            <w:fldChar w:fldCharType="separate"/>
          </w:r>
          <w:r>
            <w:rPr>
              <w:rFonts w:hint="eastAsia" w:ascii="Times New Roman" w:hAnsi="Times New Roman" w:cs="Times New Roman"/>
              <w:bCs/>
              <w:kern w:val="0"/>
              <w:szCs w:val="27"/>
            </w:rPr>
            <w:t>1.</w:t>
          </w:r>
          <w:r>
            <w:rPr>
              <w:rFonts w:ascii="Times New Roman" w:hAnsi="Times New Roman" w:cs="Times New Roman"/>
            </w:rPr>
            <w:t>对Token用量的管理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_Toc25588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14:paraId="7A86727B">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"_Toc859" </w:instrText>
          </w:r>
          <w:r>
            <w:fldChar w:fldCharType="separate"/>
          </w:r>
          <w:r>
            <w:rPr>
              <w:rFonts w:hint="eastAsia" w:ascii="Times New Roman" w:hAnsi="Times New Roman" w:cs="Times New Roman"/>
              <w:bCs/>
              <w:kern w:val="0"/>
              <w:szCs w:val="27"/>
            </w:rPr>
            <w:t>2.</w:t>
          </w:r>
          <w:r>
            <w:rPr>
              <w:rFonts w:ascii="Times New Roman" w:hAnsi="Times New Roman" w:cs="Times New Roman"/>
            </w:rPr>
            <w:t>对成本管控的管理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_Toc859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14:paraId="71493007">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"_Toc25007" </w:instrText>
          </w:r>
          <w:r>
            <w:fldChar w:fldCharType="separate"/>
          </w:r>
          <w:r>
            <w:rPr>
              <w:rFonts w:hint="eastAsia" w:ascii="Times New Roman" w:hAnsi="Times New Roman" w:cs="Times New Roman"/>
              <w:bCs/>
              <w:kern w:val="0"/>
              <w:szCs w:val="27"/>
            </w:rPr>
            <w:t>3.</w:t>
          </w:r>
          <w:r>
            <w:rPr>
              <w:rFonts w:ascii="Times New Roman" w:hAnsi="Times New Roman" w:cs="Times New Roman"/>
            </w:rPr>
            <w:t>对数据安全的管理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_Toc25007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14:paraId="4BD4D424">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"_Toc4554" </w:instrText>
          </w:r>
          <w:r>
            <w:fldChar w:fldCharType="separate"/>
          </w:r>
          <w:r>
            <w:rPr>
              <w:rFonts w:ascii="Times New Roman" w:hAnsi="Times New Roman" w:cs="Times New Roman"/>
            </w:rPr>
            <w:t>（二）本地部署模式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_Toc4554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14:paraId="45441EA7">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"_Toc24101" </w:instrText>
          </w:r>
          <w:r>
            <w:fldChar w:fldCharType="separate"/>
          </w:r>
          <w:r>
            <w:rPr>
              <w:rFonts w:ascii="Times New Roman" w:hAnsi="Times New Roman" w:cs="Times New Roman"/>
              <w:bCs/>
              <w:kern w:val="0"/>
              <w:szCs w:val="27"/>
            </w:rPr>
            <w:t>1.</w:t>
          </w:r>
          <w:r>
            <w:rPr>
              <w:rFonts w:ascii="Times New Roman" w:hAnsi="Times New Roman" w:cs="Times New Roman"/>
            </w:rPr>
            <w:t>对显存资源的管理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_Toc24101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14:paraId="5548485E">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"_Toc26943" </w:instrText>
          </w:r>
          <w:r>
            <w:fldChar w:fldCharType="separate"/>
          </w:r>
          <w:r>
            <w:rPr>
              <w:rFonts w:ascii="Times New Roman" w:hAnsi="Times New Roman" w:cs="Times New Roman"/>
              <w:bCs/>
              <w:kern w:val="0"/>
              <w:szCs w:val="27"/>
            </w:rPr>
            <w:t>2.</w:t>
          </w:r>
          <w:r>
            <w:rPr>
              <w:rFonts w:ascii="Times New Roman" w:hAnsi="Times New Roman" w:cs="Times New Roman"/>
            </w:rPr>
            <w:t>对计算资源的管理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_Toc26943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fldChar w:fldCharType="end"/>
          </w:r>
        </w:p>
        <w:p w14:paraId="0D6A334B">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"_Toc9436" </w:instrText>
          </w:r>
          <w:r>
            <w:fldChar w:fldCharType="separate"/>
          </w:r>
          <w:r>
            <w:rPr>
              <w:rFonts w:hint="eastAsia" w:ascii="Times New Roman" w:hAnsi="Times New Roman" w:cs="Times New Roman"/>
              <w:bCs/>
              <w:kern w:val="0"/>
              <w:szCs w:val="27"/>
            </w:rPr>
            <w:t>3.</w:t>
          </w:r>
          <w:r>
            <w:rPr>
              <w:rFonts w:ascii="Times New Roman" w:hAnsi="Times New Roman" w:cs="Times New Roman"/>
            </w:rPr>
            <w:t>对利用效能的管理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_Toc9436 \h </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fldChar w:fldCharType="end"/>
          </w:r>
        </w:p>
        <w:p w14:paraId="2A88FD05">
          <w:pPr>
            <w:pStyle w:val="18"/>
            <w:tabs>
              <w:tab w:val="right" w:leader="dot" w:pos="8306"/>
            </w:tabs>
            <w:spacing w:line="590" w:lineRule="exact"/>
            <w:rPr>
              <w:rFonts w:ascii="Times New Roman" w:hAnsi="Times New Roman" w:cs="Times New Roman"/>
            </w:rPr>
          </w:pPr>
          <w:r>
            <w:fldChar w:fldCharType="begin"/>
          </w:r>
          <w:r>
            <w:instrText xml:space="preserve"> HYPERLINK \l "_Toc4856" </w:instrText>
          </w:r>
          <w:r>
            <w:fldChar w:fldCharType="separate"/>
          </w:r>
          <w:r>
            <w:rPr>
              <w:rFonts w:ascii="Times New Roman" w:hAnsi="Times New Roman" w:cs="Times New Roman"/>
            </w:rPr>
            <w:t>二、企业Token管理的重点环节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_Toc4856 \h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fldChar w:fldCharType="end"/>
          </w:r>
        </w:p>
        <w:p w14:paraId="5EA7416A">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"_Toc32445" </w:instrText>
          </w:r>
          <w:r>
            <w:fldChar w:fldCharType="separate"/>
          </w:r>
          <w:r>
            <w:rPr>
              <w:rFonts w:ascii="Times New Roman" w:hAnsi="Times New Roman" w:cs="Times New Roman"/>
            </w:rPr>
            <w:t>（一）事前规划预置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_Toc32445 \h </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fldChar w:fldCharType="end"/>
          </w:r>
        </w:p>
        <w:p w14:paraId="5873B73E">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"_Toc3660" </w:instrText>
          </w:r>
          <w:r>
            <w:fldChar w:fldCharType="separate"/>
          </w:r>
          <w:r>
            <w:rPr>
              <w:rFonts w:ascii="Times New Roman" w:hAnsi="Times New Roman" w:cs="Times New Roman"/>
            </w:rPr>
            <w:t>1.</w:t>
          </w:r>
          <w:r>
            <w:rPr>
              <w:rFonts w:ascii="Times New Roman" w:hAnsi="Times New Roman" w:cs="Times New Roman"/>
              <w:szCs w:val="32"/>
            </w:rPr>
            <w:t>场景分级与立项评估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_Toc3660 \h </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fldChar w:fldCharType="end"/>
          </w:r>
        </w:p>
        <w:p w14:paraId="74E8017A">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"_Toc18297" </w:instrText>
          </w:r>
          <w:r>
            <w:fldChar w:fldCharType="separate"/>
          </w:r>
          <w:r>
            <w:rPr>
              <w:rFonts w:hint="eastAsia" w:ascii="Times New Roman" w:hAnsi="Times New Roman" w:cs="Times New Roman"/>
              <w:bCs/>
              <w:kern w:val="0"/>
              <w:szCs w:val="27"/>
            </w:rPr>
            <w:t>2.</w:t>
          </w:r>
          <w:r>
            <w:rPr>
              <w:rFonts w:ascii="Times New Roman" w:hAnsi="Times New Roman" w:cs="Times New Roman"/>
            </w:rPr>
            <w:t>模型选型与部署</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_Toc18297 \h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fldChar w:fldCharType="end"/>
          </w:r>
        </w:p>
        <w:p w14:paraId="7D3DF17F">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"_Toc794" </w:instrText>
          </w:r>
          <w:r>
            <w:fldChar w:fldCharType="separate"/>
          </w:r>
          <w:r>
            <w:rPr>
              <w:rFonts w:ascii="Times New Roman" w:hAnsi="Times New Roman" w:cs="Times New Roman"/>
              <w:bCs/>
              <w:kern w:val="0"/>
              <w:szCs w:val="27"/>
            </w:rPr>
            <w:t>3</w:t>
          </w:r>
          <w:r>
            <w:rPr>
              <w:rFonts w:hint="eastAsia" w:ascii="Times New Roman" w:hAnsi="Times New Roman" w:cs="Times New Roman"/>
              <w:bCs/>
              <w:kern w:val="0"/>
              <w:szCs w:val="27"/>
            </w:rPr>
            <w:t>.</w:t>
          </w:r>
          <w:r>
            <w:rPr>
              <w:rFonts w:ascii="Times New Roman" w:hAnsi="Times New Roman" w:cs="Times New Roman"/>
              <w:szCs w:val="27"/>
            </w:rPr>
            <w:t>模型路由配置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_Toc794 \h </w:instrText>
          </w:r>
          <w:r>
            <w:rPr>
              <w:rFonts w:ascii="Times New Roman" w:hAnsi="Times New Roman" w:cs="Times New Roman"/>
            </w:rPr>
            <w:fldChar w:fldCharType="separate"/>
          </w:r>
          <w:r>
            <w:rPr>
              <w:rFonts w:ascii="Times New Roman" w:hAnsi="Times New Roman" w:cs="Times New Roman"/>
            </w:rPr>
            <w:t>20</w:t>
          </w:r>
          <w:r>
            <w:rPr>
              <w:rFonts w:ascii="Times New Roman" w:hAnsi="Times New Roman" w:cs="Times New Roman"/>
            </w:rPr>
            <w:fldChar w:fldCharType="end"/>
          </w:r>
          <w:r>
            <w:rPr>
              <w:rFonts w:ascii="Times New Roman" w:hAnsi="Times New Roman" w:cs="Times New Roman"/>
            </w:rPr>
            <w:fldChar w:fldCharType="end"/>
          </w:r>
        </w:p>
        <w:p w14:paraId="6341F9DC">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"_Toc32428" </w:instrText>
          </w:r>
          <w:r>
            <w:fldChar w:fldCharType="separate"/>
          </w:r>
          <w:r>
            <w:rPr>
              <w:rFonts w:hint="eastAsia" w:ascii="Times New Roman" w:hAnsi="Times New Roman" w:cs="Times New Roman"/>
              <w:bCs/>
              <w:kern w:val="0"/>
              <w:szCs w:val="27"/>
            </w:rPr>
            <w:t>4.</w:t>
          </w:r>
          <w:r>
            <w:rPr>
              <w:rFonts w:ascii="Times New Roman" w:hAnsi="Times New Roman" w:cs="Times New Roman"/>
              <w:bCs/>
              <w:kern w:val="0"/>
              <w:szCs w:val="27"/>
            </w:rPr>
            <w:t>用量配额配置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_Toc32428 \h </w:instrText>
          </w:r>
          <w:r>
            <w:rPr>
              <w:rFonts w:ascii="Times New Roman" w:hAnsi="Times New Roman" w:cs="Times New Roman"/>
            </w:rPr>
            <w:fldChar w:fldCharType="separate"/>
          </w:r>
          <w:r>
            <w:rPr>
              <w:rFonts w:ascii="Times New Roman" w:hAnsi="Times New Roman" w:cs="Times New Roman"/>
            </w:rPr>
            <w:t>22</w:t>
          </w:r>
          <w:r>
            <w:rPr>
              <w:rFonts w:ascii="Times New Roman" w:hAnsi="Times New Roman" w:cs="Times New Roman"/>
            </w:rPr>
            <w:fldChar w:fldCharType="end"/>
          </w:r>
          <w:r>
            <w:rPr>
              <w:rFonts w:ascii="Times New Roman" w:hAnsi="Times New Roman" w:cs="Times New Roman"/>
            </w:rPr>
            <w:fldChar w:fldCharType="end"/>
          </w:r>
        </w:p>
        <w:p w14:paraId="2760972A">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"_Toc5312" </w:instrText>
          </w:r>
          <w:r>
            <w:fldChar w:fldCharType="separate"/>
          </w:r>
          <w:r>
            <w:rPr>
              <w:rFonts w:ascii="Times New Roman" w:hAnsi="Times New Roman" w:cs="Times New Roman"/>
              <w:bCs/>
              <w:kern w:val="0"/>
              <w:szCs w:val="27"/>
            </w:rPr>
            <w:t>5</w:t>
          </w:r>
          <w:r>
            <w:rPr>
              <w:rFonts w:hint="eastAsia" w:ascii="Times New Roman" w:hAnsi="Times New Roman" w:cs="Times New Roman"/>
              <w:bCs/>
              <w:kern w:val="0"/>
              <w:szCs w:val="27"/>
            </w:rPr>
            <w:t>.</w:t>
          </w:r>
          <w:r>
            <w:rPr>
              <w:rFonts w:ascii="Times New Roman" w:hAnsi="Times New Roman" w:cs="Times New Roman"/>
            </w:rPr>
            <w:t>Prompt工程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_Toc5312 \h </w:instrText>
          </w:r>
          <w:r>
            <w:rPr>
              <w:rFonts w:ascii="Times New Roman" w:hAnsi="Times New Roman" w:cs="Times New Roman"/>
            </w:rPr>
            <w:fldChar w:fldCharType="separate"/>
          </w:r>
          <w:r>
            <w:rPr>
              <w:rFonts w:ascii="Times New Roman" w:hAnsi="Times New Roman" w:cs="Times New Roman"/>
            </w:rPr>
            <w:t>29</w:t>
          </w:r>
          <w:r>
            <w:rPr>
              <w:rFonts w:ascii="Times New Roman" w:hAnsi="Times New Roman" w:cs="Times New Roman"/>
            </w:rPr>
            <w:fldChar w:fldCharType="end"/>
          </w:r>
          <w:r>
            <w:rPr>
              <w:rFonts w:ascii="Times New Roman" w:hAnsi="Times New Roman" w:cs="Times New Roman"/>
            </w:rPr>
            <w:fldChar w:fldCharType="end"/>
          </w:r>
        </w:p>
        <w:p w14:paraId="4001C2F1">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"_Toc15254" </w:instrText>
          </w:r>
          <w:r>
            <w:fldChar w:fldCharType="separate"/>
          </w:r>
          <w:r>
            <w:rPr>
              <w:rFonts w:ascii="Times New Roman" w:hAnsi="Times New Roman" w:cs="Times New Roman"/>
              <w:bCs/>
              <w:kern w:val="0"/>
              <w:szCs w:val="27"/>
            </w:rPr>
            <w:t>6.</w:t>
          </w:r>
          <w:r>
            <w:rPr>
              <w:rFonts w:ascii="Times New Roman" w:hAnsi="Times New Roman" w:cs="Times New Roman"/>
            </w:rPr>
            <w:t>RAG配置与更新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_Toc15254 \h </w:instrText>
          </w:r>
          <w:r>
            <w:rPr>
              <w:rFonts w:ascii="Times New Roman" w:hAnsi="Times New Roman" w:cs="Times New Roman"/>
            </w:rPr>
            <w:fldChar w:fldCharType="separate"/>
          </w:r>
          <w:r>
            <w:rPr>
              <w:rFonts w:ascii="Times New Roman" w:hAnsi="Times New Roman" w:cs="Times New Roman"/>
            </w:rPr>
            <w:t>30</w:t>
          </w:r>
          <w:r>
            <w:rPr>
              <w:rFonts w:ascii="Times New Roman" w:hAnsi="Times New Roman" w:cs="Times New Roman"/>
            </w:rPr>
            <w:fldChar w:fldCharType="end"/>
          </w:r>
          <w:r>
            <w:rPr>
              <w:rFonts w:ascii="Times New Roman" w:hAnsi="Times New Roman" w:cs="Times New Roman"/>
            </w:rPr>
            <w:fldChar w:fldCharType="end"/>
          </w:r>
        </w:p>
        <w:p w14:paraId="7E406943">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"_Toc16783" </w:instrText>
          </w:r>
          <w:r>
            <w:fldChar w:fldCharType="separate"/>
          </w:r>
          <w:r>
            <w:rPr>
              <w:rFonts w:ascii="Times New Roman" w:hAnsi="Times New Roman" w:cs="Times New Roman"/>
            </w:rPr>
            <w:t>（二）事中运行监控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_Toc16783 \h </w:instrText>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r>
            <w:rPr>
              <w:rFonts w:ascii="Times New Roman" w:hAnsi="Times New Roman" w:cs="Times New Roman"/>
            </w:rPr>
            <w:fldChar w:fldCharType="end"/>
          </w:r>
        </w:p>
        <w:p w14:paraId="578DE08F">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"_Toc24356" </w:instrText>
          </w:r>
          <w:r>
            <w:fldChar w:fldCharType="separate"/>
          </w:r>
          <w:r>
            <w:rPr>
              <w:rFonts w:ascii="Times New Roman" w:hAnsi="Times New Roman" w:cs="Times New Roman"/>
            </w:rPr>
            <w:t>1.并发与限流机制</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_Toc24356 \h </w:instrText>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r>
            <w:rPr>
              <w:rFonts w:ascii="Times New Roman" w:hAnsi="Times New Roman" w:cs="Times New Roman"/>
            </w:rPr>
            <w:fldChar w:fldCharType="end"/>
          </w:r>
        </w:p>
        <w:p w14:paraId="45915453">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"_Toc32656" </w:instrText>
          </w:r>
          <w:r>
            <w:fldChar w:fldCharType="separate"/>
          </w:r>
          <w:r>
            <w:rPr>
              <w:rFonts w:ascii="Times New Roman" w:hAnsi="Times New Roman" w:cs="Times New Roman"/>
            </w:rPr>
            <w:t>2缓存复用与语义拦截</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_Toc32656 \h </w:instrText>
          </w:r>
          <w:r>
            <w:rPr>
              <w:rFonts w:ascii="Times New Roman" w:hAnsi="Times New Roman" w:cs="Times New Roman"/>
            </w:rPr>
            <w:fldChar w:fldCharType="separate"/>
          </w:r>
          <w:r>
            <w:rPr>
              <w:rFonts w:ascii="Times New Roman" w:hAnsi="Times New Roman" w:cs="Times New Roman"/>
            </w:rPr>
            <w:t>35</w:t>
          </w:r>
          <w:r>
            <w:rPr>
              <w:rFonts w:ascii="Times New Roman" w:hAnsi="Times New Roman" w:cs="Times New Roman"/>
            </w:rPr>
            <w:fldChar w:fldCharType="end"/>
          </w:r>
          <w:r>
            <w:rPr>
              <w:rFonts w:ascii="Times New Roman" w:hAnsi="Times New Roman" w:cs="Times New Roman"/>
            </w:rPr>
            <w:fldChar w:fldCharType="end"/>
          </w:r>
        </w:p>
        <w:p w14:paraId="3C663143">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"_Toc17877" </w:instrText>
          </w:r>
          <w:r>
            <w:fldChar w:fldCharType="separate"/>
          </w:r>
          <w:r>
            <w:rPr>
              <w:rFonts w:ascii="Times New Roman" w:hAnsi="Times New Roman" w:cs="Times New Roman"/>
              <w:bCs/>
              <w:kern w:val="0"/>
              <w:szCs w:val="27"/>
            </w:rPr>
            <w:t>3.</w:t>
          </w:r>
          <w:r>
            <w:rPr>
              <w:rFonts w:hint="eastAsia" w:ascii="Times New Roman" w:hAnsi="Times New Roman" w:cs="Times New Roman"/>
              <w:kern w:val="0"/>
              <w:szCs w:val="27"/>
            </w:rPr>
            <w:t>余量调配与扩缩容</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_Toc17877 \h </w:instrText>
          </w:r>
          <w:r>
            <w:rPr>
              <w:rFonts w:ascii="Times New Roman" w:hAnsi="Times New Roman" w:cs="Times New Roman"/>
            </w:rPr>
            <w:fldChar w:fldCharType="separate"/>
          </w:r>
          <w:r>
            <w:rPr>
              <w:rFonts w:ascii="Times New Roman" w:hAnsi="Times New Roman" w:cs="Times New Roman"/>
            </w:rPr>
            <w:t>37</w:t>
          </w:r>
          <w:r>
            <w:rPr>
              <w:rFonts w:ascii="Times New Roman" w:hAnsi="Times New Roman" w:cs="Times New Roman"/>
            </w:rPr>
            <w:fldChar w:fldCharType="end"/>
          </w:r>
          <w:r>
            <w:rPr>
              <w:rFonts w:ascii="Times New Roman" w:hAnsi="Times New Roman" w:cs="Times New Roman"/>
            </w:rPr>
            <w:fldChar w:fldCharType="end"/>
          </w:r>
        </w:p>
        <w:p w14:paraId="31DE8314">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"_Toc8698" </w:instrText>
          </w:r>
          <w:r>
            <w:fldChar w:fldCharType="separate"/>
          </w:r>
          <w:r>
            <w:rPr>
              <w:rFonts w:ascii="Times New Roman" w:hAnsi="Times New Roman" w:cs="Times New Roman"/>
            </w:rPr>
            <w:t>4.数据合规与脱敏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_Toc8698 \h </w:instrText>
          </w:r>
          <w:r>
            <w:rPr>
              <w:rFonts w:ascii="Times New Roman" w:hAnsi="Times New Roman" w:cs="Times New Roman"/>
            </w:rPr>
            <w:fldChar w:fldCharType="separate"/>
          </w:r>
          <w:r>
            <w:rPr>
              <w:rFonts w:ascii="Times New Roman" w:hAnsi="Times New Roman" w:cs="Times New Roman"/>
            </w:rPr>
            <w:t>39</w:t>
          </w:r>
          <w:r>
            <w:rPr>
              <w:rFonts w:ascii="Times New Roman" w:hAnsi="Times New Roman" w:cs="Times New Roman"/>
            </w:rPr>
            <w:fldChar w:fldCharType="end"/>
          </w:r>
          <w:r>
            <w:rPr>
              <w:rFonts w:ascii="Times New Roman" w:hAnsi="Times New Roman" w:cs="Times New Roman"/>
            </w:rPr>
            <w:fldChar w:fldCharType="end"/>
          </w:r>
        </w:p>
        <w:p w14:paraId="4E9E30DD">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"_Toc25315" </w:instrText>
          </w:r>
          <w:r>
            <w:fldChar w:fldCharType="separate"/>
          </w:r>
          <w:r>
            <w:rPr>
              <w:rFonts w:ascii="Times New Roman" w:hAnsi="Times New Roman" w:cs="Times New Roman"/>
            </w:rPr>
            <w:t>5.实时监控与审计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_Toc25315 \h </w:instrText>
          </w:r>
          <w:r>
            <w:rPr>
              <w:rFonts w:ascii="Times New Roman" w:hAnsi="Times New Roman" w:cs="Times New Roman"/>
            </w:rPr>
            <w:fldChar w:fldCharType="separate"/>
          </w:r>
          <w:r>
            <w:rPr>
              <w:rFonts w:ascii="Times New Roman" w:hAnsi="Times New Roman" w:cs="Times New Roman"/>
            </w:rPr>
            <w:t>45</w:t>
          </w:r>
          <w:r>
            <w:rPr>
              <w:rFonts w:ascii="Times New Roman" w:hAnsi="Times New Roman" w:cs="Times New Roman"/>
            </w:rPr>
            <w:fldChar w:fldCharType="end"/>
          </w:r>
          <w:r>
            <w:rPr>
              <w:rFonts w:ascii="Times New Roman" w:hAnsi="Times New Roman" w:cs="Times New Roman"/>
            </w:rPr>
            <w:fldChar w:fldCharType="end"/>
          </w:r>
        </w:p>
        <w:p w14:paraId="43B31D36">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"_Toc14737" </w:instrText>
          </w:r>
          <w:r>
            <w:fldChar w:fldCharType="separate"/>
          </w:r>
          <w:r>
            <w:rPr>
              <w:rFonts w:ascii="Times New Roman" w:hAnsi="Times New Roman" w:cs="Times New Roman"/>
            </w:rPr>
            <w:t>6.人工介入与兜底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_Toc14737 \h </w:instrText>
          </w:r>
          <w:r>
            <w:rPr>
              <w:rFonts w:ascii="Times New Roman" w:hAnsi="Times New Roman" w:cs="Times New Roman"/>
            </w:rPr>
            <w:fldChar w:fldCharType="separate"/>
          </w:r>
          <w:r>
            <w:rPr>
              <w:rFonts w:ascii="Times New Roman" w:hAnsi="Times New Roman" w:cs="Times New Roman"/>
            </w:rPr>
            <w:t>47</w:t>
          </w:r>
          <w:r>
            <w:rPr>
              <w:rFonts w:ascii="Times New Roman" w:hAnsi="Times New Roman" w:cs="Times New Roman"/>
            </w:rPr>
            <w:fldChar w:fldCharType="end"/>
          </w:r>
          <w:r>
            <w:rPr>
              <w:rFonts w:ascii="Times New Roman" w:hAnsi="Times New Roman" w:cs="Times New Roman"/>
            </w:rPr>
            <w:fldChar w:fldCharType="end"/>
          </w:r>
        </w:p>
        <w:p w14:paraId="5CE89BA8">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"_Toc23803" </w:instrText>
          </w:r>
          <w:r>
            <w:fldChar w:fldCharType="separate"/>
          </w:r>
          <w:r>
            <w:rPr>
              <w:rFonts w:ascii="Times New Roman" w:hAnsi="Times New Roman" w:cs="Times New Roman"/>
            </w:rPr>
            <w:t>（三）事后复盘优化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_Toc23803 \h </w:instrText>
          </w:r>
          <w:r>
            <w:rPr>
              <w:rFonts w:ascii="Times New Roman" w:hAnsi="Times New Roman" w:cs="Times New Roman"/>
            </w:rPr>
            <w:fldChar w:fldCharType="separate"/>
          </w:r>
          <w:r>
            <w:rPr>
              <w:rFonts w:ascii="Times New Roman" w:hAnsi="Times New Roman" w:cs="Times New Roman"/>
            </w:rPr>
            <w:t>49</w:t>
          </w:r>
          <w:r>
            <w:rPr>
              <w:rFonts w:ascii="Times New Roman" w:hAnsi="Times New Roman" w:cs="Times New Roman"/>
            </w:rPr>
            <w:fldChar w:fldCharType="end"/>
          </w:r>
          <w:r>
            <w:rPr>
              <w:rFonts w:ascii="Times New Roman" w:hAnsi="Times New Roman" w:cs="Times New Roman"/>
            </w:rPr>
            <w:fldChar w:fldCharType="end"/>
          </w:r>
        </w:p>
        <w:p w14:paraId="25247285">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"_Toc24910" </w:instrText>
          </w:r>
          <w:r>
            <w:fldChar w:fldCharType="separate"/>
          </w:r>
          <w:r>
            <w:rPr>
              <w:rFonts w:hint="eastAsia" w:ascii="Times New Roman" w:hAnsi="Times New Roman" w:cs="Times New Roman"/>
              <w:bCs/>
              <w:kern w:val="0"/>
              <w:szCs w:val="32"/>
            </w:rPr>
            <w:t>1.</w:t>
          </w:r>
          <w:r>
            <w:rPr>
              <w:rFonts w:hint="eastAsia" w:ascii="Times New Roman" w:hAnsi="Times New Roman" w:cs="Times New Roman"/>
              <w:szCs w:val="32"/>
            </w:rPr>
            <w:t>精细化账单归因</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_Toc24910 \h </w:instrText>
          </w:r>
          <w:r>
            <w:rPr>
              <w:rFonts w:ascii="Times New Roman" w:hAnsi="Times New Roman" w:cs="Times New Roman"/>
            </w:rPr>
            <w:fldChar w:fldCharType="separate"/>
          </w:r>
          <w:r>
            <w:rPr>
              <w:rFonts w:ascii="Times New Roman" w:hAnsi="Times New Roman" w:cs="Times New Roman"/>
            </w:rPr>
            <w:t>49</w:t>
          </w:r>
          <w:r>
            <w:rPr>
              <w:rFonts w:ascii="Times New Roman" w:hAnsi="Times New Roman" w:cs="Times New Roman"/>
            </w:rPr>
            <w:fldChar w:fldCharType="end"/>
          </w:r>
          <w:r>
            <w:rPr>
              <w:rFonts w:ascii="Times New Roman" w:hAnsi="Times New Roman" w:cs="Times New Roman"/>
            </w:rPr>
            <w:fldChar w:fldCharType="end"/>
          </w:r>
        </w:p>
        <w:p w14:paraId="3A1400FE">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"_Toc6606" </w:instrText>
          </w:r>
          <w:r>
            <w:fldChar w:fldCharType="separate"/>
          </w:r>
          <w:r>
            <w:rPr>
              <w:rFonts w:ascii="Times New Roman" w:hAnsi="Times New Roman" w:cs="Times New Roman"/>
              <w:szCs w:val="32"/>
            </w:rPr>
            <w:t>2.综合效能评估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_Toc6606 \h </w:instrText>
          </w:r>
          <w:r>
            <w:rPr>
              <w:rFonts w:ascii="Times New Roman" w:hAnsi="Times New Roman" w:cs="Times New Roman"/>
            </w:rPr>
            <w:fldChar w:fldCharType="separate"/>
          </w:r>
          <w:r>
            <w:rPr>
              <w:rFonts w:ascii="Times New Roman" w:hAnsi="Times New Roman" w:cs="Times New Roman"/>
            </w:rPr>
            <w:t>50</w:t>
          </w:r>
          <w:r>
            <w:rPr>
              <w:rFonts w:ascii="Times New Roman" w:hAnsi="Times New Roman" w:cs="Times New Roman"/>
            </w:rPr>
            <w:fldChar w:fldCharType="end"/>
          </w:r>
          <w:r>
            <w:rPr>
              <w:rFonts w:ascii="Times New Roman" w:hAnsi="Times New Roman" w:cs="Times New Roman"/>
            </w:rPr>
            <w:fldChar w:fldCharType="end"/>
          </w:r>
        </w:p>
        <w:p w14:paraId="775297DF">
          <w:pPr>
            <w:pStyle w:val="18"/>
            <w:tabs>
              <w:tab w:val="right" w:leader="dot" w:pos="8306"/>
            </w:tabs>
            <w:spacing w:line="590" w:lineRule="exact"/>
            <w:rPr>
              <w:rFonts w:ascii="Times New Roman" w:hAnsi="Times New Roman" w:cs="Times New Roman"/>
            </w:rPr>
          </w:pPr>
          <w:r>
            <w:fldChar w:fldCharType="begin"/>
          </w:r>
          <w:r>
            <w:instrText xml:space="preserve"> HYPERLINK \l "_Toc11350" </w:instrText>
          </w:r>
          <w:r>
            <w:fldChar w:fldCharType="separate"/>
          </w:r>
          <w:r>
            <w:rPr>
              <w:rFonts w:ascii="Times New Roman" w:hAnsi="Times New Roman" w:cs="Times New Roman"/>
            </w:rPr>
            <w:t>三、基于业务特征的Token管理侧重点</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_Toc11350 \h </w:instrText>
          </w:r>
          <w:r>
            <w:rPr>
              <w:rFonts w:ascii="Times New Roman" w:hAnsi="Times New Roman" w:cs="Times New Roman"/>
            </w:rPr>
            <w:fldChar w:fldCharType="separate"/>
          </w:r>
          <w:r>
            <w:rPr>
              <w:rFonts w:ascii="Times New Roman" w:hAnsi="Times New Roman" w:cs="Times New Roman"/>
            </w:rPr>
            <w:t>53</w:t>
          </w:r>
          <w:r>
            <w:rPr>
              <w:rFonts w:ascii="Times New Roman" w:hAnsi="Times New Roman" w:cs="Times New Roman"/>
            </w:rPr>
            <w:fldChar w:fldCharType="end"/>
          </w:r>
          <w:r>
            <w:rPr>
              <w:rFonts w:ascii="Times New Roman" w:hAnsi="Times New Roman" w:cs="Times New Roman"/>
            </w:rPr>
            <w:fldChar w:fldCharType="end"/>
          </w:r>
        </w:p>
        <w:p w14:paraId="5419C0E4">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"_Toc23385" </w:instrText>
          </w:r>
          <w:r>
            <w:fldChar w:fldCharType="separate"/>
          </w:r>
          <w:r>
            <w:rPr>
              <w:rFonts w:ascii="Times New Roman" w:hAnsi="Times New Roman" w:cs="Times New Roman"/>
              <w:bCs/>
              <w:szCs w:val="32"/>
            </w:rPr>
            <w:t>（一）生产刚性类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_Toc23385 \h </w:instrText>
          </w:r>
          <w:r>
            <w:rPr>
              <w:rFonts w:ascii="Times New Roman" w:hAnsi="Times New Roman" w:cs="Times New Roman"/>
            </w:rPr>
            <w:fldChar w:fldCharType="separate"/>
          </w:r>
          <w:r>
            <w:rPr>
              <w:rFonts w:ascii="Times New Roman" w:hAnsi="Times New Roman" w:cs="Times New Roman"/>
            </w:rPr>
            <w:t>54</w:t>
          </w:r>
          <w:r>
            <w:rPr>
              <w:rFonts w:ascii="Times New Roman" w:hAnsi="Times New Roman" w:cs="Times New Roman"/>
            </w:rPr>
            <w:fldChar w:fldCharType="end"/>
          </w:r>
          <w:r>
            <w:rPr>
              <w:rFonts w:ascii="Times New Roman" w:hAnsi="Times New Roman" w:cs="Times New Roman"/>
            </w:rPr>
            <w:fldChar w:fldCharType="end"/>
          </w:r>
        </w:p>
        <w:p w14:paraId="0A84532B">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"_Toc2670" </w:instrText>
          </w:r>
          <w:r>
            <w:fldChar w:fldCharType="separate"/>
          </w:r>
          <w:r>
            <w:rPr>
              <w:rFonts w:ascii="Times New Roman" w:hAnsi="Times New Roman" w:cs="Times New Roman"/>
            </w:rPr>
            <w:t>1.在线智能检测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_Toc2670 \h </w:instrText>
          </w:r>
          <w:r>
            <w:rPr>
              <w:rFonts w:ascii="Times New Roman" w:hAnsi="Times New Roman" w:cs="Times New Roman"/>
            </w:rPr>
            <w:fldChar w:fldCharType="separate"/>
          </w:r>
          <w:r>
            <w:rPr>
              <w:rFonts w:ascii="Times New Roman" w:hAnsi="Times New Roman" w:cs="Times New Roman"/>
            </w:rPr>
            <w:t>54</w:t>
          </w:r>
          <w:r>
            <w:rPr>
              <w:rFonts w:ascii="Times New Roman" w:hAnsi="Times New Roman" w:cs="Times New Roman"/>
            </w:rPr>
            <w:fldChar w:fldCharType="end"/>
          </w:r>
          <w:r>
            <w:rPr>
              <w:rFonts w:ascii="Times New Roman" w:hAnsi="Times New Roman" w:cs="Times New Roman"/>
            </w:rPr>
            <w:fldChar w:fldCharType="end"/>
          </w:r>
        </w:p>
        <w:p w14:paraId="356EBD9A">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"_Toc14595" </w:instrText>
          </w:r>
          <w:r>
            <w:fldChar w:fldCharType="separate"/>
          </w:r>
          <w:r>
            <w:rPr>
              <w:rFonts w:ascii="Times New Roman" w:hAnsi="Times New Roman" w:cs="Times New Roman"/>
            </w:rPr>
            <w:t>2.设备运行监控与维护</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_Toc14595 \h </w:instrText>
          </w:r>
          <w:r>
            <w:rPr>
              <w:rFonts w:ascii="Times New Roman" w:hAnsi="Times New Roman" w:cs="Times New Roman"/>
            </w:rPr>
            <w:fldChar w:fldCharType="separate"/>
          </w:r>
          <w:r>
            <w:rPr>
              <w:rFonts w:ascii="Times New Roman" w:hAnsi="Times New Roman" w:cs="Times New Roman"/>
            </w:rPr>
            <w:t>57</w:t>
          </w:r>
          <w:r>
            <w:rPr>
              <w:rFonts w:ascii="Times New Roman" w:hAnsi="Times New Roman" w:cs="Times New Roman"/>
            </w:rPr>
            <w:fldChar w:fldCharType="end"/>
          </w:r>
          <w:r>
            <w:rPr>
              <w:rFonts w:ascii="Times New Roman" w:hAnsi="Times New Roman" w:cs="Times New Roman"/>
            </w:rPr>
            <w:fldChar w:fldCharType="end"/>
          </w:r>
        </w:p>
        <w:p w14:paraId="0C7E8B71">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"_Toc26933" </w:instrText>
          </w:r>
          <w:r>
            <w:fldChar w:fldCharType="separate"/>
          </w:r>
          <w:r>
            <w:rPr>
              <w:rFonts w:ascii="Times New Roman" w:hAnsi="Times New Roman" w:cs="Times New Roman"/>
            </w:rPr>
            <w:t>3.危险作业自动化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_Toc26933 \h </w:instrText>
          </w:r>
          <w:r>
            <w:rPr>
              <w:rFonts w:ascii="Times New Roman" w:hAnsi="Times New Roman" w:cs="Times New Roman"/>
            </w:rPr>
            <w:fldChar w:fldCharType="separate"/>
          </w:r>
          <w:r>
            <w:rPr>
              <w:rFonts w:ascii="Times New Roman" w:hAnsi="Times New Roman" w:cs="Times New Roman"/>
            </w:rPr>
            <w:t>60</w:t>
          </w:r>
          <w:r>
            <w:rPr>
              <w:rFonts w:ascii="Times New Roman" w:hAnsi="Times New Roman" w:cs="Times New Roman"/>
            </w:rPr>
            <w:fldChar w:fldCharType="end"/>
          </w:r>
          <w:r>
            <w:rPr>
              <w:rFonts w:ascii="Times New Roman" w:hAnsi="Times New Roman" w:cs="Times New Roman"/>
            </w:rPr>
            <w:fldChar w:fldCharType="end"/>
          </w:r>
        </w:p>
        <w:p w14:paraId="50AAA119">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"_Toc5758" </w:instrText>
          </w:r>
          <w:r>
            <w:fldChar w:fldCharType="separate"/>
          </w:r>
          <w:r>
            <w:rPr>
              <w:rFonts w:ascii="Times New Roman" w:hAnsi="Times New Roman" w:cs="Times New Roman"/>
            </w:rPr>
            <w:t>4.安全一体化管控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_Toc5758 \h </w:instrText>
          </w:r>
          <w:r>
            <w:rPr>
              <w:rFonts w:ascii="Times New Roman" w:hAnsi="Times New Roman" w:cs="Times New Roman"/>
            </w:rPr>
            <w:fldChar w:fldCharType="separate"/>
          </w:r>
          <w:r>
            <w:rPr>
              <w:rFonts w:ascii="Times New Roman" w:hAnsi="Times New Roman" w:cs="Times New Roman"/>
            </w:rPr>
            <w:t>61</w:t>
          </w:r>
          <w:r>
            <w:rPr>
              <w:rFonts w:ascii="Times New Roman" w:hAnsi="Times New Roman" w:cs="Times New Roman"/>
            </w:rPr>
            <w:fldChar w:fldCharType="end"/>
          </w:r>
          <w:r>
            <w:rPr>
              <w:rFonts w:ascii="Times New Roman" w:hAnsi="Times New Roman" w:cs="Times New Roman"/>
            </w:rPr>
            <w:fldChar w:fldCharType="end"/>
          </w:r>
        </w:p>
        <w:p w14:paraId="6F4AD013">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"_Toc16376" </w:instrText>
          </w:r>
          <w:r>
            <w:fldChar w:fldCharType="separate"/>
          </w:r>
          <w:r>
            <w:rPr>
              <w:rFonts w:ascii="Times New Roman" w:hAnsi="Times New Roman" w:cs="Times New Roman"/>
              <w:bCs/>
              <w:szCs w:val="32"/>
            </w:rPr>
            <w:t>（二）经营优化类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_Toc16376 \h </w:instrText>
          </w:r>
          <w:r>
            <w:rPr>
              <w:rFonts w:ascii="Times New Roman" w:hAnsi="Times New Roman" w:cs="Times New Roman"/>
            </w:rPr>
            <w:fldChar w:fldCharType="separate"/>
          </w:r>
          <w:r>
            <w:rPr>
              <w:rFonts w:ascii="Times New Roman" w:hAnsi="Times New Roman" w:cs="Times New Roman"/>
            </w:rPr>
            <w:t>64</w:t>
          </w:r>
          <w:r>
            <w:rPr>
              <w:rFonts w:ascii="Times New Roman" w:hAnsi="Times New Roman" w:cs="Times New Roman"/>
            </w:rPr>
            <w:fldChar w:fldCharType="end"/>
          </w:r>
          <w:r>
            <w:rPr>
              <w:rFonts w:ascii="Times New Roman" w:hAnsi="Times New Roman" w:cs="Times New Roman"/>
            </w:rPr>
            <w:fldChar w:fldCharType="end"/>
          </w:r>
        </w:p>
        <w:p w14:paraId="3E4EAB24">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"_Toc11960" </w:instrText>
          </w:r>
          <w:r>
            <w:fldChar w:fldCharType="separate"/>
          </w:r>
          <w:r>
            <w:rPr>
              <w:rFonts w:ascii="Times New Roman" w:hAnsi="Times New Roman" w:cs="Times New Roman"/>
            </w:rPr>
            <w:t>5.工艺动态优化（离线模式）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_Toc11960 \h </w:instrText>
          </w:r>
          <w:r>
            <w:rPr>
              <w:rFonts w:ascii="Times New Roman" w:hAnsi="Times New Roman" w:cs="Times New Roman"/>
            </w:rPr>
            <w:fldChar w:fldCharType="separate"/>
          </w:r>
          <w:r>
            <w:rPr>
              <w:rFonts w:ascii="Times New Roman" w:hAnsi="Times New Roman" w:cs="Times New Roman"/>
            </w:rPr>
            <w:t>64</w:t>
          </w:r>
          <w:r>
            <w:rPr>
              <w:rFonts w:ascii="Times New Roman" w:hAnsi="Times New Roman" w:cs="Times New Roman"/>
            </w:rPr>
            <w:fldChar w:fldCharType="end"/>
          </w:r>
          <w:r>
            <w:rPr>
              <w:rFonts w:ascii="Times New Roman" w:hAnsi="Times New Roman" w:cs="Times New Roman"/>
            </w:rPr>
            <w:fldChar w:fldCharType="end"/>
          </w:r>
        </w:p>
        <w:p w14:paraId="027D6ED8">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"_Toc25438" </w:instrText>
          </w:r>
          <w:r>
            <w:fldChar w:fldCharType="separate"/>
          </w:r>
          <w:r>
            <w:rPr>
              <w:rFonts w:ascii="Times New Roman" w:hAnsi="Times New Roman" w:cs="Times New Roman"/>
            </w:rPr>
            <w:t>6.柔性产线快速换产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_Toc25438 \h </w:instrText>
          </w:r>
          <w:r>
            <w:rPr>
              <w:rFonts w:ascii="Times New Roman" w:hAnsi="Times New Roman" w:cs="Times New Roman"/>
            </w:rPr>
            <w:fldChar w:fldCharType="separate"/>
          </w:r>
          <w:r>
            <w:rPr>
              <w:rFonts w:ascii="Times New Roman" w:hAnsi="Times New Roman" w:cs="Times New Roman"/>
            </w:rPr>
            <w:t>67</w:t>
          </w:r>
          <w:r>
            <w:rPr>
              <w:rFonts w:ascii="Times New Roman" w:hAnsi="Times New Roman" w:cs="Times New Roman"/>
            </w:rPr>
            <w:fldChar w:fldCharType="end"/>
          </w:r>
          <w:r>
            <w:rPr>
              <w:rFonts w:ascii="Times New Roman" w:hAnsi="Times New Roman" w:cs="Times New Roman"/>
            </w:rPr>
            <w:fldChar w:fldCharType="end"/>
          </w:r>
        </w:p>
        <w:p w14:paraId="4CAD0F0D">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"_Toc15210" </w:instrText>
          </w:r>
          <w:r>
            <w:fldChar w:fldCharType="separate"/>
          </w:r>
          <w:r>
            <w:rPr>
              <w:rFonts w:ascii="Times New Roman" w:hAnsi="Times New Roman" w:cs="Times New Roman"/>
            </w:rPr>
            <w:t>7.质量精准追溯</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_Toc15210 \h </w:instrText>
          </w:r>
          <w:r>
            <w:rPr>
              <w:rFonts w:ascii="Times New Roman" w:hAnsi="Times New Roman" w:cs="Times New Roman"/>
            </w:rPr>
            <w:fldChar w:fldCharType="separate"/>
          </w:r>
          <w:r>
            <w:rPr>
              <w:rFonts w:ascii="Times New Roman" w:hAnsi="Times New Roman" w:cs="Times New Roman"/>
            </w:rPr>
            <w:t>70</w:t>
          </w:r>
          <w:r>
            <w:rPr>
              <w:rFonts w:ascii="Times New Roman" w:hAnsi="Times New Roman" w:cs="Times New Roman"/>
            </w:rPr>
            <w:fldChar w:fldCharType="end"/>
          </w:r>
          <w:r>
            <w:rPr>
              <w:rFonts w:ascii="Times New Roman" w:hAnsi="Times New Roman" w:cs="Times New Roman"/>
            </w:rPr>
            <w:fldChar w:fldCharType="end"/>
          </w:r>
        </w:p>
        <w:p w14:paraId="42BCA896">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"_Toc10047" </w:instrText>
          </w:r>
          <w:r>
            <w:fldChar w:fldCharType="separate"/>
          </w:r>
          <w:r>
            <w:rPr>
              <w:rFonts w:ascii="Times New Roman" w:hAnsi="Times New Roman" w:cs="Times New Roman"/>
            </w:rPr>
            <w:t>8.物料精准配送（配送策略优化模式）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_Toc10047 \h </w:instrText>
          </w:r>
          <w:r>
            <w:rPr>
              <w:rFonts w:ascii="Times New Roman" w:hAnsi="Times New Roman" w:cs="Times New Roman"/>
            </w:rPr>
            <w:fldChar w:fldCharType="separate"/>
          </w:r>
          <w:r>
            <w:rPr>
              <w:rFonts w:ascii="Times New Roman" w:hAnsi="Times New Roman" w:cs="Times New Roman"/>
            </w:rPr>
            <w:t>73</w:t>
          </w:r>
          <w:r>
            <w:rPr>
              <w:rFonts w:ascii="Times New Roman" w:hAnsi="Times New Roman" w:cs="Times New Roman"/>
            </w:rPr>
            <w:fldChar w:fldCharType="end"/>
          </w:r>
          <w:r>
            <w:rPr>
              <w:rFonts w:ascii="Times New Roman" w:hAnsi="Times New Roman" w:cs="Times New Roman"/>
            </w:rPr>
            <w:fldChar w:fldCharType="end"/>
          </w:r>
        </w:p>
        <w:p w14:paraId="60FE2A01">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"_Toc17922" </w:instrText>
          </w:r>
          <w:r>
            <w:fldChar w:fldCharType="separate"/>
          </w:r>
          <w:r>
            <w:rPr>
              <w:rFonts w:ascii="Times New Roman" w:hAnsi="Times New Roman" w:cs="Times New Roman"/>
            </w:rPr>
            <w:t>9.仓储智能管理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_Toc17922 \h </w:instrText>
          </w:r>
          <w:r>
            <w:rPr>
              <w:rFonts w:ascii="Times New Roman" w:hAnsi="Times New Roman" w:cs="Times New Roman"/>
            </w:rPr>
            <w:fldChar w:fldCharType="separate"/>
          </w:r>
          <w:r>
            <w:rPr>
              <w:rFonts w:ascii="Times New Roman" w:hAnsi="Times New Roman" w:cs="Times New Roman"/>
            </w:rPr>
            <w:t>76</w:t>
          </w:r>
          <w:r>
            <w:rPr>
              <w:rFonts w:ascii="Times New Roman" w:hAnsi="Times New Roman" w:cs="Times New Roman"/>
            </w:rPr>
            <w:fldChar w:fldCharType="end"/>
          </w:r>
          <w:r>
            <w:rPr>
              <w:rFonts w:ascii="Times New Roman" w:hAnsi="Times New Roman" w:cs="Times New Roman"/>
            </w:rPr>
            <w:fldChar w:fldCharType="end"/>
          </w:r>
        </w:p>
        <w:p w14:paraId="0FECDBFF">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"_Toc18529" </w:instrText>
          </w:r>
          <w:r>
            <w:fldChar w:fldCharType="separate"/>
          </w:r>
          <w:r>
            <w:rPr>
              <w:rFonts w:ascii="Times New Roman" w:hAnsi="Times New Roman" w:cs="Times New Roman"/>
            </w:rPr>
            <w:t>（三）计划决策类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_Toc18529 \h </w:instrText>
          </w:r>
          <w:r>
            <w:rPr>
              <w:rFonts w:ascii="Times New Roman" w:hAnsi="Times New Roman" w:cs="Times New Roman"/>
            </w:rPr>
            <w:fldChar w:fldCharType="separate"/>
          </w:r>
          <w:r>
            <w:rPr>
              <w:rFonts w:ascii="Times New Roman" w:hAnsi="Times New Roman" w:cs="Times New Roman"/>
            </w:rPr>
            <w:t>78</w:t>
          </w:r>
          <w:r>
            <w:rPr>
              <w:rFonts w:ascii="Times New Roman" w:hAnsi="Times New Roman" w:cs="Times New Roman"/>
            </w:rPr>
            <w:fldChar w:fldCharType="end"/>
          </w:r>
          <w:r>
            <w:rPr>
              <w:rFonts w:ascii="Times New Roman" w:hAnsi="Times New Roman" w:cs="Times New Roman"/>
            </w:rPr>
            <w:fldChar w:fldCharType="end"/>
          </w:r>
        </w:p>
        <w:p w14:paraId="06FD2B75">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"_Toc21758" </w:instrText>
          </w:r>
          <w:r>
            <w:fldChar w:fldCharType="separate"/>
          </w:r>
          <w:r>
            <w:rPr>
              <w:rFonts w:ascii="Times New Roman" w:hAnsi="Times New Roman" w:cs="Times New Roman"/>
            </w:rPr>
            <w:t>10.生产计划优化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_Toc21758 \h </w:instrText>
          </w:r>
          <w:r>
            <w:rPr>
              <w:rFonts w:ascii="Times New Roman" w:hAnsi="Times New Roman" w:cs="Times New Roman"/>
            </w:rPr>
            <w:fldChar w:fldCharType="separate"/>
          </w:r>
          <w:r>
            <w:rPr>
              <w:rFonts w:ascii="Times New Roman" w:hAnsi="Times New Roman" w:cs="Times New Roman"/>
            </w:rPr>
            <w:t>79</w:t>
          </w:r>
          <w:r>
            <w:rPr>
              <w:rFonts w:ascii="Times New Roman" w:hAnsi="Times New Roman" w:cs="Times New Roman"/>
            </w:rPr>
            <w:fldChar w:fldCharType="end"/>
          </w:r>
          <w:r>
            <w:rPr>
              <w:rFonts w:ascii="Times New Roman" w:hAnsi="Times New Roman" w:cs="Times New Roman"/>
            </w:rPr>
            <w:fldChar w:fldCharType="end"/>
          </w:r>
        </w:p>
        <w:p w14:paraId="1EC70C32">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"_Toc9456" </w:instrText>
          </w:r>
          <w:r>
            <w:fldChar w:fldCharType="separate"/>
          </w:r>
          <w:r>
            <w:rPr>
              <w:rFonts w:ascii="Times New Roman" w:hAnsi="Times New Roman" w:cs="Times New Roman"/>
            </w:rPr>
            <w:t>11.采购计划优化协同</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_Toc9456 \h </w:instrText>
          </w:r>
          <w:r>
            <w:rPr>
              <w:rFonts w:ascii="Times New Roman" w:hAnsi="Times New Roman" w:cs="Times New Roman"/>
            </w:rPr>
            <w:fldChar w:fldCharType="separate"/>
          </w:r>
          <w:r>
            <w:rPr>
              <w:rFonts w:ascii="Times New Roman" w:hAnsi="Times New Roman" w:cs="Times New Roman"/>
            </w:rPr>
            <w:t>81</w:t>
          </w:r>
          <w:r>
            <w:rPr>
              <w:rFonts w:ascii="Times New Roman" w:hAnsi="Times New Roman" w:cs="Times New Roman"/>
            </w:rPr>
            <w:fldChar w:fldCharType="end"/>
          </w:r>
          <w:r>
            <w:rPr>
              <w:rFonts w:ascii="Times New Roman" w:hAnsi="Times New Roman" w:cs="Times New Roman"/>
            </w:rPr>
            <w:fldChar w:fldCharType="end"/>
          </w:r>
        </w:p>
        <w:p w14:paraId="7BC8F251">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"_Toc235" </w:instrText>
          </w:r>
          <w:r>
            <w:fldChar w:fldCharType="separate"/>
          </w:r>
          <w:r>
            <w:rPr>
              <w:rFonts w:ascii="Times New Roman" w:hAnsi="Times New Roman" w:cs="Times New Roman"/>
            </w:rPr>
            <w:t>12.智能经营决策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_Toc235 \h </w:instrText>
          </w:r>
          <w:r>
            <w:rPr>
              <w:rFonts w:ascii="Times New Roman" w:hAnsi="Times New Roman" w:cs="Times New Roman"/>
            </w:rPr>
            <w:fldChar w:fldCharType="separate"/>
          </w:r>
          <w:r>
            <w:rPr>
              <w:rFonts w:ascii="Times New Roman" w:hAnsi="Times New Roman" w:cs="Times New Roman"/>
            </w:rPr>
            <w:t>83</w:t>
          </w:r>
          <w:r>
            <w:rPr>
              <w:rFonts w:ascii="Times New Roman" w:hAnsi="Times New Roman" w:cs="Times New Roman"/>
            </w:rPr>
            <w:fldChar w:fldCharType="end"/>
          </w:r>
          <w:r>
            <w:rPr>
              <w:rFonts w:ascii="Times New Roman" w:hAnsi="Times New Roman" w:cs="Times New Roman"/>
            </w:rPr>
            <w:fldChar w:fldCharType="end"/>
          </w:r>
        </w:p>
        <w:p w14:paraId="5877330F">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"_Toc16880" </w:instrText>
          </w:r>
          <w:r>
            <w:fldChar w:fldCharType="separate"/>
          </w:r>
          <w:r>
            <w:rPr>
              <w:rFonts w:ascii="Times New Roman" w:hAnsi="Times New Roman" w:cs="Times New Roman"/>
            </w:rPr>
            <w:t>13.数智精益管理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_Toc16880 \h </w:instrText>
          </w:r>
          <w:r>
            <w:rPr>
              <w:rFonts w:ascii="Times New Roman" w:hAnsi="Times New Roman" w:cs="Times New Roman"/>
            </w:rPr>
            <w:fldChar w:fldCharType="separate"/>
          </w:r>
          <w:r>
            <w:rPr>
              <w:rFonts w:ascii="Times New Roman" w:hAnsi="Times New Roman" w:cs="Times New Roman"/>
            </w:rPr>
            <w:t>85</w:t>
          </w:r>
          <w:r>
            <w:rPr>
              <w:rFonts w:ascii="Times New Roman" w:hAnsi="Times New Roman" w:cs="Times New Roman"/>
            </w:rPr>
            <w:fldChar w:fldCharType="end"/>
          </w:r>
          <w:r>
            <w:rPr>
              <w:rFonts w:ascii="Times New Roman" w:hAnsi="Times New Roman" w:cs="Times New Roman"/>
            </w:rPr>
            <w:fldChar w:fldCharType="end"/>
          </w:r>
        </w:p>
        <w:p w14:paraId="4F3F39EC">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"_Toc5808" </w:instrText>
          </w:r>
          <w:r>
            <w:fldChar w:fldCharType="separate"/>
          </w:r>
          <w:r>
            <w:rPr>
              <w:rFonts w:ascii="Times New Roman" w:hAnsi="Times New Roman" w:cs="Times New Roman"/>
            </w:rPr>
            <w:t>14.供应链风险预警与调度</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_Toc5808 \h </w:instrText>
          </w:r>
          <w:r>
            <w:rPr>
              <w:rFonts w:ascii="Times New Roman" w:hAnsi="Times New Roman" w:cs="Times New Roman"/>
            </w:rPr>
            <w:fldChar w:fldCharType="separate"/>
          </w:r>
          <w:r>
            <w:rPr>
              <w:rFonts w:ascii="Times New Roman" w:hAnsi="Times New Roman" w:cs="Times New Roman"/>
            </w:rPr>
            <w:t>86</w:t>
          </w:r>
          <w:r>
            <w:rPr>
              <w:rFonts w:ascii="Times New Roman" w:hAnsi="Times New Roman" w:cs="Times New Roman"/>
            </w:rPr>
            <w:fldChar w:fldCharType="end"/>
          </w:r>
          <w:r>
            <w:rPr>
              <w:rFonts w:ascii="Times New Roman" w:hAnsi="Times New Roman" w:cs="Times New Roman"/>
            </w:rPr>
            <w:fldChar w:fldCharType="end"/>
          </w:r>
        </w:p>
        <w:p w14:paraId="3A38E2AA">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"_Toc19702" </w:instrText>
          </w:r>
          <w:r>
            <w:fldChar w:fldCharType="separate"/>
          </w:r>
          <w:r>
            <w:rPr>
              <w:rFonts w:ascii="Times New Roman" w:hAnsi="Times New Roman" w:cs="Times New Roman"/>
            </w:rPr>
            <w:t>（四）研发仿真类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_Toc19702 \h </w:instrText>
          </w:r>
          <w:r>
            <w:rPr>
              <w:rFonts w:ascii="Times New Roman" w:hAnsi="Times New Roman" w:cs="Times New Roman"/>
            </w:rPr>
            <w:fldChar w:fldCharType="separate"/>
          </w:r>
          <w:r>
            <w:rPr>
              <w:rFonts w:ascii="Times New Roman" w:hAnsi="Times New Roman" w:cs="Times New Roman"/>
            </w:rPr>
            <w:t>88</w:t>
          </w:r>
          <w:r>
            <w:rPr>
              <w:rFonts w:ascii="Times New Roman" w:hAnsi="Times New Roman" w:cs="Times New Roman"/>
            </w:rPr>
            <w:fldChar w:fldCharType="end"/>
          </w:r>
          <w:r>
            <w:rPr>
              <w:rFonts w:ascii="Times New Roman" w:hAnsi="Times New Roman" w:cs="Times New Roman"/>
            </w:rPr>
            <w:fldChar w:fldCharType="end"/>
          </w:r>
        </w:p>
        <w:p w14:paraId="380EE3A2">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"_Toc22725" </w:instrText>
          </w:r>
          <w:r>
            <w:fldChar w:fldCharType="separate"/>
          </w:r>
          <w:r>
            <w:rPr>
              <w:rFonts w:ascii="Times New Roman" w:hAnsi="Times New Roman" w:cs="Times New Roman"/>
            </w:rPr>
            <w:t>15.产品数字化设计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_Toc22725 \h </w:instrText>
          </w:r>
          <w:r>
            <w:rPr>
              <w:rFonts w:ascii="Times New Roman" w:hAnsi="Times New Roman" w:cs="Times New Roman"/>
            </w:rPr>
            <w:fldChar w:fldCharType="separate"/>
          </w:r>
          <w:r>
            <w:rPr>
              <w:rFonts w:ascii="Times New Roman" w:hAnsi="Times New Roman" w:cs="Times New Roman"/>
            </w:rPr>
            <w:t>88</w:t>
          </w:r>
          <w:r>
            <w:rPr>
              <w:rFonts w:ascii="Times New Roman" w:hAnsi="Times New Roman" w:cs="Times New Roman"/>
            </w:rPr>
            <w:fldChar w:fldCharType="end"/>
          </w:r>
          <w:r>
            <w:rPr>
              <w:rFonts w:ascii="Times New Roman" w:hAnsi="Times New Roman" w:cs="Times New Roman"/>
            </w:rPr>
            <w:fldChar w:fldCharType="end"/>
          </w:r>
        </w:p>
        <w:p w14:paraId="6F8BDA12">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"_Toc1254" </w:instrText>
          </w:r>
          <w:r>
            <w:fldChar w:fldCharType="separate"/>
          </w:r>
          <w:r>
            <w:rPr>
              <w:rFonts w:ascii="Times New Roman" w:hAnsi="Times New Roman" w:cs="Times New Roman"/>
            </w:rPr>
            <w:t>16.工艺数字化设计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_Toc1254 \h </w:instrText>
          </w:r>
          <w:r>
            <w:rPr>
              <w:rFonts w:ascii="Times New Roman" w:hAnsi="Times New Roman" w:cs="Times New Roman"/>
            </w:rPr>
            <w:fldChar w:fldCharType="separate"/>
          </w:r>
          <w:r>
            <w:rPr>
              <w:rFonts w:ascii="Times New Roman" w:hAnsi="Times New Roman" w:cs="Times New Roman"/>
            </w:rPr>
            <w:t>91</w:t>
          </w:r>
          <w:r>
            <w:rPr>
              <w:rFonts w:ascii="Times New Roman" w:hAnsi="Times New Roman" w:cs="Times New Roman"/>
            </w:rPr>
            <w:fldChar w:fldCharType="end"/>
          </w:r>
          <w:r>
            <w:rPr>
              <w:rFonts w:ascii="Times New Roman" w:hAnsi="Times New Roman" w:cs="Times New Roman"/>
            </w:rPr>
            <w:fldChar w:fldCharType="end"/>
          </w:r>
        </w:p>
        <w:p w14:paraId="4B418187">
          <w:pPr>
            <w:pStyle w:val="13"/>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"_Toc16259" </w:instrText>
          </w:r>
          <w:r>
            <w:fldChar w:fldCharType="separate"/>
          </w:r>
          <w:r>
            <w:rPr>
              <w:rFonts w:ascii="Times New Roman" w:hAnsi="Times New Roman" w:cs="Times New Roman"/>
            </w:rPr>
            <w:t>17.</w:t>
          </w:r>
          <w:r>
            <w:rPr>
              <w:rFonts w:ascii="Times New Roman" w:hAnsi="Times New Roman" w:cs="Times New Roman"/>
              <w:bCs/>
            </w:rPr>
            <w:t>数字孪生工厂建设</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_Toc16259 \h </w:instrText>
          </w:r>
          <w:r>
            <w:rPr>
              <w:rFonts w:ascii="Times New Roman" w:hAnsi="Times New Roman" w:cs="Times New Roman"/>
            </w:rPr>
            <w:fldChar w:fldCharType="separate"/>
          </w:r>
          <w:r>
            <w:rPr>
              <w:rFonts w:ascii="Times New Roman" w:hAnsi="Times New Roman" w:cs="Times New Roman"/>
            </w:rPr>
            <w:t>94</w:t>
          </w:r>
          <w:r>
            <w:rPr>
              <w:rFonts w:ascii="Times New Roman" w:hAnsi="Times New Roman" w:cs="Times New Roman"/>
            </w:rPr>
            <w:fldChar w:fldCharType="end"/>
          </w:r>
          <w:r>
            <w:rPr>
              <w:rFonts w:ascii="Times New Roman" w:hAnsi="Times New Roman" w:cs="Times New Roman"/>
            </w:rPr>
            <w:fldChar w:fldCharType="end"/>
          </w:r>
        </w:p>
        <w:p w14:paraId="65C67501">
          <w:pPr>
            <w:pStyle w:val="18"/>
            <w:tabs>
              <w:tab w:val="right" w:leader="dot" w:pos="8306"/>
            </w:tabs>
            <w:spacing w:line="590" w:lineRule="exact"/>
            <w:rPr>
              <w:rFonts w:ascii="Times New Roman" w:hAnsi="Times New Roman" w:cs="Times New Roman"/>
            </w:rPr>
          </w:pPr>
          <w:r>
            <w:fldChar w:fldCharType="begin"/>
          </w:r>
          <w:r>
            <w:instrText xml:space="preserve"> HYPERLINK \l "_Toc2458" </w:instrText>
          </w:r>
          <w:r>
            <w:fldChar w:fldCharType="separate"/>
          </w:r>
          <w:r>
            <w:rPr>
              <w:rFonts w:ascii="Times New Roman" w:hAnsi="Times New Roman" w:cs="Times New Roman"/>
            </w:rPr>
            <w:t>四、企业Token管理制度建议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_Toc2458 \h </w:instrText>
          </w:r>
          <w:r>
            <w:rPr>
              <w:rFonts w:ascii="Times New Roman" w:hAnsi="Times New Roman" w:cs="Times New Roman"/>
            </w:rPr>
            <w:fldChar w:fldCharType="separate"/>
          </w:r>
          <w:r>
            <w:rPr>
              <w:rFonts w:ascii="Times New Roman" w:hAnsi="Times New Roman" w:cs="Times New Roman"/>
            </w:rPr>
            <w:t>97</w:t>
          </w:r>
          <w:r>
            <w:rPr>
              <w:rFonts w:ascii="Times New Roman" w:hAnsi="Times New Roman" w:cs="Times New Roman"/>
            </w:rPr>
            <w:fldChar w:fldCharType="end"/>
          </w:r>
          <w:r>
            <w:rPr>
              <w:rFonts w:ascii="Times New Roman" w:hAnsi="Times New Roman" w:cs="Times New Roman"/>
            </w:rPr>
            <w:fldChar w:fldCharType="end"/>
          </w:r>
        </w:p>
        <w:p w14:paraId="48218B3C">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"_Toc22718" </w:instrText>
          </w:r>
          <w:r>
            <w:fldChar w:fldCharType="separate"/>
          </w:r>
          <w:r>
            <w:rPr>
              <w:rFonts w:ascii="Times New Roman" w:hAnsi="Times New Roman" w:cs="Times New Roman"/>
              <w:lang w:bidi="ar"/>
            </w:rPr>
            <w:t>（一）构建跨部门协同管理架构</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_Toc22718 \h </w:instrText>
          </w:r>
          <w:r>
            <w:rPr>
              <w:rFonts w:ascii="Times New Roman" w:hAnsi="Times New Roman" w:cs="Times New Roman"/>
            </w:rPr>
            <w:fldChar w:fldCharType="separate"/>
          </w:r>
          <w:r>
            <w:rPr>
              <w:rFonts w:ascii="Times New Roman" w:hAnsi="Times New Roman" w:cs="Times New Roman"/>
            </w:rPr>
            <w:t>97</w:t>
          </w:r>
          <w:r>
            <w:rPr>
              <w:rFonts w:ascii="Times New Roman" w:hAnsi="Times New Roman" w:cs="Times New Roman"/>
            </w:rPr>
            <w:fldChar w:fldCharType="end"/>
          </w:r>
          <w:r>
            <w:rPr>
              <w:rFonts w:ascii="Times New Roman" w:hAnsi="Times New Roman" w:cs="Times New Roman"/>
            </w:rPr>
            <w:fldChar w:fldCharType="end"/>
          </w:r>
        </w:p>
        <w:p w14:paraId="0D755D0C">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"_Toc20873" </w:instrText>
          </w:r>
          <w:r>
            <w:fldChar w:fldCharType="separate"/>
          </w:r>
          <w:r>
            <w:rPr>
              <w:rFonts w:ascii="Times New Roman" w:hAnsi="Times New Roman" w:cs="Times New Roman"/>
              <w:lang w:bidi="ar"/>
            </w:rPr>
            <w:t>（二）实施基于角色的访问控制</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_Toc20873 \h </w:instrText>
          </w:r>
          <w:r>
            <w:rPr>
              <w:rFonts w:ascii="Times New Roman" w:hAnsi="Times New Roman" w:cs="Times New Roman"/>
            </w:rPr>
            <w:fldChar w:fldCharType="separate"/>
          </w:r>
          <w:r>
            <w:rPr>
              <w:rFonts w:ascii="Times New Roman" w:hAnsi="Times New Roman" w:cs="Times New Roman"/>
            </w:rPr>
            <w:t>98</w:t>
          </w:r>
          <w:r>
            <w:rPr>
              <w:rFonts w:ascii="Times New Roman" w:hAnsi="Times New Roman" w:cs="Times New Roman"/>
            </w:rPr>
            <w:fldChar w:fldCharType="end"/>
          </w:r>
          <w:r>
            <w:rPr>
              <w:rFonts w:ascii="Times New Roman" w:hAnsi="Times New Roman" w:cs="Times New Roman"/>
            </w:rPr>
            <w:fldChar w:fldCharType="end"/>
          </w:r>
        </w:p>
        <w:p w14:paraId="2AAFE1C3">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"_Toc10551" </w:instrText>
          </w:r>
          <w:r>
            <w:fldChar w:fldCharType="separate"/>
          </w:r>
          <w:r>
            <w:rPr>
              <w:rFonts w:ascii="Times New Roman" w:hAnsi="Times New Roman" w:cs="Times New Roman"/>
              <w:lang w:bidi="ar"/>
            </w:rPr>
            <w:t>（三）构建动态的配额管控体系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_Toc10551 \h </w:instrText>
          </w:r>
          <w:r>
            <w:rPr>
              <w:rFonts w:ascii="Times New Roman" w:hAnsi="Times New Roman" w:cs="Times New Roman"/>
            </w:rPr>
            <w:fldChar w:fldCharType="separate"/>
          </w:r>
          <w:r>
            <w:rPr>
              <w:rFonts w:ascii="Times New Roman" w:hAnsi="Times New Roman" w:cs="Times New Roman"/>
            </w:rPr>
            <w:t>99</w:t>
          </w:r>
          <w:r>
            <w:rPr>
              <w:rFonts w:ascii="Times New Roman" w:hAnsi="Times New Roman" w:cs="Times New Roman"/>
            </w:rPr>
            <w:fldChar w:fldCharType="end"/>
          </w:r>
          <w:r>
            <w:rPr>
              <w:rFonts w:ascii="Times New Roman" w:hAnsi="Times New Roman" w:cs="Times New Roman"/>
            </w:rPr>
            <w:fldChar w:fldCharType="end"/>
          </w:r>
        </w:p>
        <w:p w14:paraId="71A815ED">
          <w:pPr>
            <w:pStyle w:val="21"/>
            <w:tabs>
              <w:tab w:val="right" w:leader="dot" w:pos="8306"/>
            </w:tabs>
            <w:spacing w:line="590" w:lineRule="exact"/>
            <w:ind w:left="0" w:leftChars="0" w:firstLine="640" w:firstLineChars="200"/>
            <w:rPr>
              <w:rFonts w:ascii="Times New Roman" w:hAnsi="Times New Roman" w:cs="Times New Roman"/>
            </w:rPr>
          </w:pPr>
          <w:r>
            <w:fldChar w:fldCharType="begin"/>
          </w:r>
          <w:r>
            <w:instrText xml:space="preserve"> HYPERLINK \l "_Toc15855" </w:instrText>
          </w:r>
          <w:r>
            <w:fldChar w:fldCharType="separate"/>
          </w:r>
          <w:r>
            <w:rPr>
              <w:rFonts w:ascii="Times New Roman" w:hAnsi="Times New Roman" w:cs="Times New Roman"/>
              <w:lang w:bidi="ar"/>
            </w:rPr>
            <w:t>（四）建立标准化管理闭环流程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_Toc15855 \h </w:instrText>
          </w:r>
          <w:r>
            <w:rPr>
              <w:rFonts w:ascii="Times New Roman" w:hAnsi="Times New Roman" w:cs="Times New Roman"/>
            </w:rPr>
            <w:fldChar w:fldCharType="separate"/>
          </w:r>
          <w:r>
            <w:rPr>
              <w:rFonts w:ascii="Times New Roman" w:hAnsi="Times New Roman" w:cs="Times New Roman"/>
            </w:rPr>
            <w:t>99</w:t>
          </w:r>
          <w:r>
            <w:rPr>
              <w:rFonts w:ascii="Times New Roman" w:hAnsi="Times New Roman" w:cs="Times New Roman"/>
            </w:rPr>
            <w:fldChar w:fldCharType="end"/>
          </w:r>
          <w:r>
            <w:rPr>
              <w:rFonts w:ascii="Times New Roman" w:hAnsi="Times New Roman" w:cs="Times New Roman"/>
            </w:rPr>
            <w:fldChar w:fldCharType="end"/>
          </w:r>
        </w:p>
        <w:p w14:paraId="27518CB0">
          <w:pPr>
            <w:pStyle w:val="18"/>
            <w:tabs>
              <w:tab w:val="right" w:leader="dot" w:pos="8306"/>
            </w:tabs>
            <w:spacing w:line="590" w:lineRule="exact"/>
            <w:rPr>
              <w:rFonts w:ascii="Times New Roman" w:hAnsi="Times New Roman" w:cs="Times New Roman"/>
            </w:rPr>
          </w:pPr>
          <w:r>
            <w:fldChar w:fldCharType="begin"/>
          </w:r>
          <w:r>
            <w:instrText xml:space="preserve"> HYPERLINK \l "_Toc18100" </w:instrText>
          </w:r>
          <w:r>
            <w:fldChar w:fldCharType="separate"/>
          </w:r>
          <w:r>
            <w:rPr>
              <w:rFonts w:ascii="Times New Roman" w:hAnsi="Times New Roman" w:cs="Times New Roman"/>
            </w:rPr>
            <w:t>附件：技术名词介绍</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_Toc18100 \h </w:instrText>
          </w:r>
          <w:r>
            <w:rPr>
              <w:rFonts w:ascii="Times New Roman" w:hAnsi="Times New Roman" w:cs="Times New Roman"/>
            </w:rPr>
            <w:fldChar w:fldCharType="separate"/>
          </w:r>
          <w:r>
            <w:rPr>
              <w:rFonts w:ascii="Times New Roman" w:hAnsi="Times New Roman" w:cs="Times New Roman"/>
            </w:rPr>
            <w:t>101</w:t>
          </w:r>
          <w:r>
            <w:rPr>
              <w:rFonts w:ascii="Times New Roman" w:hAnsi="Times New Roman" w:cs="Times New Roman"/>
            </w:rPr>
            <w:fldChar w:fldCharType="end"/>
          </w:r>
          <w:r>
            <w:rPr>
              <w:rFonts w:ascii="Times New Roman" w:hAnsi="Times New Roman" w:cs="Times New Roman"/>
            </w:rPr>
            <w:fldChar w:fldCharType="end"/>
          </w:r>
        </w:p>
        <w:p w14:paraId="2D6D0CD4">
          <w:pPr>
            <w:tabs>
              <w:tab w:val="right" w:leader="dot" w:pos="8306"/>
            </w:tabs>
            <w:spacing w:line="440" w:lineRule="exact"/>
            <w:ind w:firstLine="640"/>
          </w:pPr>
          <w:r>
            <w:rPr>
              <w:rFonts w:hint="eastAsia"/>
            </w:rPr>
            <w:fldChar w:fldCharType="end"/>
          </w:r>
        </w:p>
      </w:sdtContent>
    </w:sdt>
    <w:p w14:paraId="1F1A3ED2">
      <w:pPr>
        <w:ind w:firstLine="640"/>
      </w:pPr>
      <w:r>
        <w:rPr>
          <w:rFonts w:hint="eastAsia"/>
        </w:rPr>
        <w:br w:type="page"/>
      </w:r>
      <w:bookmarkStart w:id="128" w:name="_GoBack"/>
      <w:bookmarkEnd w:id="128"/>
    </w:p>
    <w:p w14:paraId="6C1743FB">
      <w:pPr>
        <w:pStyle w:val="2"/>
        <w:ind w:firstLine="0" w:firstLineChars="0"/>
        <w:jc w:val="center"/>
        <w:rPr>
          <w:rFonts w:hint="eastAsia"/>
          <w:sz w:val="36"/>
          <w:szCs w:val="48"/>
        </w:rPr>
      </w:pPr>
      <w:bookmarkStart w:id="3" w:name="_Toc11263"/>
      <w:bookmarkStart w:id="4" w:name="_Toc16983"/>
      <w:bookmarkStart w:id="5" w:name="_Toc29335"/>
    </w:p>
    <w:p w14:paraId="4DF8D156">
      <w:pPr>
        <w:pStyle w:val="2"/>
        <w:ind w:firstLine="0" w:firstLineChars="0"/>
        <w:jc w:val="center"/>
      </w:pPr>
      <w:r>
        <w:rPr>
          <w:rFonts w:hint="eastAsia"/>
          <w:sz w:val="36"/>
          <w:szCs w:val="48"/>
        </w:rPr>
        <w:t>前  言</w:t>
      </w:r>
      <w:bookmarkEnd w:id="3"/>
      <w:bookmarkEnd w:id="4"/>
      <w:bookmarkEnd w:id="5"/>
    </w:p>
    <w:p w14:paraId="480F2FF8">
      <w:pPr>
        <w:ind w:firstLine="640"/>
      </w:pPr>
    </w:p>
    <w:p w14:paraId="65ED57B0">
      <w:pPr>
        <w:ind w:firstLine="640"/>
      </w:pPr>
      <w:r>
        <w:rPr>
          <w:rFonts w:hint="eastAsia"/>
        </w:rPr>
        <w:t>当前，人工智能正从单点应用加速迈向规模化、常态化普及。Token</w:t>
      </w:r>
      <w:r>
        <w:rPr>
          <w:rFonts w:hint="eastAsia"/>
          <w:vertAlign w:val="superscript"/>
        </w:rPr>
        <w:t>1</w:t>
      </w:r>
      <w:r>
        <w:rPr>
          <w:rFonts w:hint="eastAsia"/>
        </w:rPr>
        <w:t>（词元）作为AI世界的基础计量单位，不仅是大模型处理信息的基本单元，也是衡量AI算力消耗、模型运算工作量的计量标尺，逐渐演变为标准化的资源消耗计量单位。近年来，江苏省深入推进“人工智能+制造”行动，随着全省制造业人工智能场景应用规模的扩张，企业在Token资源的使用上面临着成本失控、数据安全风险以及效能评估困难等挑战。因此，建立科学的Token管理体系，确保Token消耗匹配真实业务需求、产出可量化的业务增益，已成为制造业企业模型应用亟需关注的重点。</w:t>
      </w:r>
    </w:p>
    <w:p w14:paraId="6187B4AB">
      <w:pPr>
        <w:ind w:firstLine="640"/>
      </w:pPr>
      <w:r>
        <w:rPr>
          <w:rFonts w:hint="eastAsia"/>
        </w:rPr>
        <w:t>为帮助我省制造业企业开展Token精细化管理，提升人工智能技术对制造业企业的赋能效益，江苏省工业和信息化厅联合国家工业信息安全发展研究中心江苏分中心（赛昇数智科技（苏州）有限公司）共同研究出台本指引，针对制造业企业采用公有云API调用和本地部署两类模型应用模式</w:t>
      </w:r>
      <w:r>
        <w:rPr>
          <w:rStyle w:val="31"/>
        </w:rPr>
        <w:footnoteReference w:id="0"/>
      </w:r>
      <w:r>
        <w:rPr>
          <w:rFonts w:hint="eastAsia"/>
        </w:rPr>
        <w:t xml:space="preserve">，系统梳理影响企业Token管理的核心要素，分类明确不同场景Token管理侧重点，细化管控行为，为企业提供标准化指导。 </w:t>
      </w:r>
    </w:p>
    <w:p w14:paraId="39C88669">
      <w:pPr>
        <w:ind w:firstLine="640"/>
      </w:pPr>
    </w:p>
    <w:p w14:paraId="439FC6B6">
      <w:pPr>
        <w:spacing w:line="240" w:lineRule="auto"/>
        <w:ind w:firstLine="0" w:firstLineChars="0"/>
        <w:jc w:val="left"/>
        <w:rPr>
          <w:rFonts w:eastAsia="方正黑体_GBK"/>
          <w:bCs/>
          <w:kern w:val="44"/>
          <w:szCs w:val="44"/>
        </w:rPr>
      </w:pPr>
      <w:r>
        <w:br w:type="page"/>
      </w:r>
    </w:p>
    <w:p w14:paraId="6CADD37E">
      <w:pPr>
        <w:pStyle w:val="2"/>
        <w:ind w:firstLine="640"/>
        <w:sectPr>
          <w:footerReference r:id="rId11" w:type="default"/>
          <w:endnotePr>
            <w:numFmt w:val="decimal"/>
          </w:endnotePr>
          <w:pgSz w:w="11906" w:h="16838"/>
          <w:pgMar w:top="1440" w:right="1800" w:bottom="1440" w:left="1800" w:header="851" w:footer="992" w:gutter="0"/>
          <w:pgNumType w:start="1"/>
          <w:cols w:space="425" w:num="1"/>
          <w:docGrid w:type="lines" w:linePitch="312" w:charSpace="0"/>
        </w:sectPr>
      </w:pPr>
    </w:p>
    <w:p w14:paraId="28A18BB7">
      <w:pPr>
        <w:pStyle w:val="2"/>
        <w:ind w:firstLine="640"/>
      </w:pPr>
      <w:bookmarkStart w:id="6" w:name="_Toc24183"/>
      <w:bookmarkStart w:id="7" w:name="_Toc13655"/>
      <w:bookmarkStart w:id="8" w:name="_Toc12778"/>
      <w:r>
        <w:rPr>
          <w:rFonts w:hint="eastAsia"/>
        </w:rPr>
        <w:t>一、Token管理的核心内容</w:t>
      </w:r>
      <w:bookmarkEnd w:id="6"/>
      <w:bookmarkEnd w:id="7"/>
      <w:bookmarkEnd w:id="8"/>
    </w:p>
    <w:p w14:paraId="6B4C0D3F">
      <w:pPr>
        <w:ind w:firstLine="640"/>
      </w:pPr>
      <w:r>
        <w:rPr>
          <w:rFonts w:hint="eastAsia"/>
        </w:rPr>
        <w:t>Token管理是指企业对模型在输入、推理、输出及缓存过程中产生的Token流转、资源消耗开展的全生命周期精细化管控。制造业的Token管理本质是将Token作为连接业务需求与物理算力的度量单位，立足制造场景生产实时性、周期波动性、数据安全等约束条件，通过控制Token的流转路径与消耗规模，实现业务响应时效、数据安全与算力成本的最优平衡。</w:t>
      </w:r>
    </w:p>
    <w:p w14:paraId="10CE1123">
      <w:pPr>
        <w:ind w:firstLine="640"/>
      </w:pPr>
      <w:r>
        <w:rPr>
          <w:rFonts w:hint="eastAsia"/>
        </w:rPr>
        <w:t>针对公有云API部署模式与本地部署模式，Token管理的核心内容如下：</w:t>
      </w:r>
    </w:p>
    <w:p w14:paraId="282B3FC4">
      <w:pPr>
        <w:pStyle w:val="3"/>
        <w:rPr>
          <w:bCs w:val="0"/>
        </w:rPr>
      </w:pPr>
      <w:bookmarkStart w:id="9" w:name="_Toc16240"/>
      <w:bookmarkStart w:id="10" w:name="_Toc23321"/>
      <w:bookmarkStart w:id="11" w:name="_Toc1233"/>
      <w:r>
        <w:rPr>
          <w:rFonts w:hint="eastAsia"/>
        </w:rPr>
        <w:t>（一）</w:t>
      </w:r>
      <w:r>
        <w:t>公有云API</w:t>
      </w:r>
      <w:r>
        <w:rPr>
          <w:rFonts w:hint="eastAsia"/>
        </w:rPr>
        <w:t>模式</w:t>
      </w:r>
      <w:bookmarkEnd w:id="9"/>
      <w:bookmarkEnd w:id="10"/>
      <w:bookmarkEnd w:id="11"/>
    </w:p>
    <w:p w14:paraId="309BCFE2">
      <w:pPr>
        <w:ind w:firstLine="640"/>
        <w:rPr>
          <w:b/>
          <w:bCs/>
        </w:rPr>
      </w:pPr>
      <w:r>
        <w:t>公有云API模式</w:t>
      </w:r>
      <w:r>
        <w:rPr>
          <w:rFonts w:hint="eastAsia"/>
        </w:rPr>
        <w:t>，</w:t>
      </w:r>
      <w:r>
        <w:t>是指企业依托外部公有云服务商的算力与模型基础设施，通过标准化接口直接调用大模型推理能力的轻量化应用方式。</w:t>
      </w:r>
      <w:r>
        <w:rPr>
          <w:b/>
          <w:bCs/>
        </w:rPr>
        <w:t>在此模式下，Token是云服务商核算调用成本的核心依据，Token管理</w:t>
      </w:r>
      <w:r>
        <w:rPr>
          <w:rFonts w:hint="eastAsia"/>
          <w:b/>
          <w:bCs/>
        </w:rPr>
        <w:t>的核心在于</w:t>
      </w:r>
      <w:r>
        <w:rPr>
          <w:b/>
          <w:bCs/>
        </w:rPr>
        <w:t>聚焦</w:t>
      </w:r>
      <w:r>
        <w:rPr>
          <w:rFonts w:hint="eastAsia"/>
          <w:b/>
          <w:bCs/>
        </w:rPr>
        <w:t>成本管控与</w:t>
      </w:r>
      <w:r>
        <w:rPr>
          <w:b/>
          <w:bCs/>
        </w:rPr>
        <w:t>数据</w:t>
      </w:r>
      <w:r>
        <w:rPr>
          <w:rFonts w:hint="eastAsia"/>
          <w:b/>
          <w:bCs/>
        </w:rPr>
        <w:t>出域</w:t>
      </w:r>
      <w:r>
        <w:rPr>
          <w:b/>
          <w:bCs/>
        </w:rPr>
        <w:t>风险防控</w:t>
      </w:r>
      <w:r>
        <w:rPr>
          <w:rFonts w:hint="eastAsia"/>
        </w:rPr>
        <w:t>，实现企业AI投入的可视、可管、可算与可追溯。</w:t>
      </w:r>
    </w:p>
    <w:p w14:paraId="54C0CE72">
      <w:pPr>
        <w:pStyle w:val="4"/>
        <w:ind w:firstLine="643" w:firstLineChars="0"/>
      </w:pPr>
      <w:bookmarkStart w:id="12" w:name="_Toc24687"/>
      <w:bookmarkStart w:id="13" w:name="_Toc30024"/>
      <w:bookmarkStart w:id="14" w:name="_Toc25588"/>
      <w:r>
        <w:rPr>
          <w:rFonts w:hint="eastAsia"/>
        </w:rPr>
        <w:t>1.对Token用量的管理</w:t>
      </w:r>
      <w:bookmarkEnd w:id="12"/>
      <w:bookmarkEnd w:id="13"/>
      <w:bookmarkEnd w:id="14"/>
    </w:p>
    <w:p w14:paraId="15F96346">
      <w:pPr>
        <w:numPr>
          <w:ilvl w:val="255"/>
          <w:numId w:val="0"/>
        </w:numPr>
        <w:ind w:firstLine="640"/>
      </w:pPr>
      <w:r>
        <w:rPr>
          <w:rFonts w:hint="eastAsia"/>
        </w:rPr>
        <w:t>API部署模式下，减少Token消耗的重点在于模型应用的系统化管理，即通过统筹模型选型与智能路由、精细化提示词管理、上下文缓存策略，实现对输入、输出、推理和缓存过程中Token用量的优化。</w:t>
      </w:r>
    </w:p>
    <w:p w14:paraId="7EBA111D">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（1）模型选型管理</w:t>
      </w:r>
    </w:p>
    <w:p w14:paraId="271BB9A1">
      <w:pPr>
        <w:ind w:firstLine="643"/>
      </w:pPr>
      <w:r>
        <w:rPr>
          <w:rFonts w:hint="eastAsia"/>
          <w:b/>
          <w:bCs/>
        </w:rPr>
        <w:t>影响机制</w:t>
      </w:r>
      <w:r>
        <w:rPr>
          <w:rFonts w:hint="eastAsia"/>
        </w:rPr>
        <w:t>：不同参数规模的模型在推理能力、处理问题难度上均存在差别，高参数模型处理复杂推理、高质量文本生成能力强，但单位Token成本高；低参数模型响应快、Token成本低，但处理复杂任务能力不足。另外，同一参数规模模型微调方向与基座能力存在较大差异，面向特定应用场景优先选用原生能力特性更符合场景特征的模型非常重要。此外，在复杂的Agent</w:t>
      </w:r>
      <w:r>
        <w:rPr>
          <w:rFonts w:hint="eastAsia"/>
          <w:vertAlign w:val="superscript"/>
        </w:rPr>
        <w:t>2</w:t>
      </w:r>
      <w:r>
        <w:rPr>
          <w:rFonts w:hint="eastAsia"/>
        </w:rPr>
        <w:t>场景中，模型精准调用外部业务系统工具的能力，优先级高于复杂推理能力。因此，模型选型不能一味追求大参数基座，需规避高规格模型在特定任务下的资源浪费。</w:t>
      </w:r>
    </w:p>
    <w:p w14:paraId="26F281D2">
      <w:pPr>
        <w:ind w:firstLine="643"/>
      </w:pPr>
      <w:r>
        <w:rPr>
          <w:rFonts w:hint="eastAsia"/>
          <w:b/>
          <w:bCs/>
        </w:rPr>
        <w:t>常见不合理管理行为</w:t>
      </w:r>
      <w:r>
        <w:rPr>
          <w:rFonts w:hint="eastAsia"/>
        </w:rPr>
        <w:t>：①企业在系统架构中采用一刀切策略，选用单一的模型应对所有业务场景。②在Agent场景中盲目使用具备复杂规划能力的智能体，模型能力与场景需求错位，导致过度思考与幻觉无效消耗Token。</w:t>
      </w:r>
    </w:p>
    <w:p w14:paraId="761F22E7">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（2）模型路由管理</w:t>
      </w:r>
    </w:p>
    <w:p w14:paraId="7260871E">
      <w:pPr>
        <w:ind w:firstLine="643"/>
      </w:pPr>
      <w:r>
        <w:rPr>
          <w:rFonts w:hint="eastAsia"/>
          <w:b/>
          <w:bCs/>
        </w:rPr>
        <w:t>影响机制：</w:t>
      </w:r>
      <w:r>
        <w:rPr>
          <w:rFonts w:hint="eastAsia"/>
        </w:rPr>
        <w:t>在企业多模型共存的环境下，根据请求的业务场景、任务复杂度、数据合规要求等，将请求精准路由至最匹配的模型，并结合各模型的实时健康状态、并发负载与API限流状态，执行负载均衡</w:t>
      </w:r>
      <w:r>
        <w:rPr>
          <w:rFonts w:hint="eastAsia"/>
          <w:vertAlign w:val="superscript"/>
        </w:rPr>
        <w:t>3</w:t>
      </w:r>
      <w:r>
        <w:rPr>
          <w:rFonts w:hint="eastAsia"/>
        </w:rPr>
        <w:t>与容灾降级</w:t>
      </w:r>
      <w:r>
        <w:rPr>
          <w:rFonts w:hint="eastAsia"/>
          <w:vertAlign w:val="superscript"/>
        </w:rPr>
        <w:t>4</w:t>
      </w:r>
      <w:r>
        <w:rPr>
          <w:rFonts w:hint="eastAsia"/>
        </w:rPr>
        <w:t>，才能在保障业务高可用与数据安全的前提下，实现算力资源的最优配置与Token成本的有效控制。</w:t>
      </w:r>
    </w:p>
    <w:p w14:paraId="2586068C">
      <w:pPr>
        <w:ind w:firstLine="643"/>
      </w:pPr>
      <w:r>
        <w:rPr>
          <w:rFonts w:hint="eastAsia"/>
          <w:b/>
          <w:bCs/>
        </w:rPr>
        <w:t>常见不合理管理行为</w:t>
      </w:r>
      <w:r>
        <w:rPr>
          <w:rFonts w:hint="eastAsia"/>
        </w:rPr>
        <w:t>：①缺乏精细化任务分层，所有请求都默认交由最高性能的旗舰模型处理，或为了省钱将强推理任务派给弱模型。②业务系统直接硬编码调用特定供应商的API，没有建立统一的网关进行协议转换和容灾管理。③业务架构缺乏前置的规则拦截层，海量本无需消耗Token的简单任务会直接穿透到大模型层，增加Token消耗量。</w:t>
      </w:r>
    </w:p>
    <w:p w14:paraId="5775B96C">
      <w:pPr>
        <w:pStyle w:val="5"/>
        <w:ind w:firstLine="643"/>
        <w:rPr>
          <w:rFonts w:ascii="Times New Roman" w:hAnsi="Times New Roman" w:eastAsia="方正仿宋_GBK" w:cs="Times New Roman"/>
          <w:color w:val="auto"/>
          <w:sz w:val="32"/>
          <w:szCs w:val="32"/>
        </w:rPr>
      </w:pPr>
      <w:r>
        <w:rPr>
          <w:rFonts w:hint="eastAsia" w:ascii="Times New Roman" w:hAnsi="Times New Roman" w:eastAsia="方正仿宋_GBK" w:cs="Times New Roman"/>
          <w:b/>
          <w:bCs/>
          <w:color w:val="auto"/>
          <w:sz w:val="32"/>
          <w:szCs w:val="32"/>
        </w:rPr>
        <w:t>（3）上下文缓存管理</w:t>
      </w:r>
    </w:p>
    <w:p w14:paraId="67DA3661">
      <w:pPr>
        <w:ind w:firstLine="643"/>
      </w:pPr>
      <w:r>
        <w:rPr>
          <w:rFonts w:hint="eastAsia"/>
          <w:b/>
          <w:bCs/>
        </w:rPr>
        <w:t>影响机制</w:t>
      </w:r>
      <w:r>
        <w:rPr>
          <w:rFonts w:hint="eastAsia"/>
        </w:rPr>
        <w:t>：大模型推理调用过程中，多轮对话、同一内容重复提问等场景普遍存在输入信息重叠。针对这一现象，主流云厂商已引入隐式缓存机制</w:t>
      </w:r>
      <w:r>
        <w:rPr>
          <w:rFonts w:hint="eastAsia"/>
          <w:vertAlign w:val="superscript"/>
        </w:rPr>
        <w:t>5</w:t>
      </w:r>
      <w:r>
        <w:rPr>
          <w:rFonts w:hint="eastAsia"/>
        </w:rPr>
        <w:t>，即当多次请求包含相同的长前缀时，云端会直接复用已存储的KV Cache</w:t>
      </w:r>
      <w:r>
        <w:rPr>
          <w:rFonts w:hint="eastAsia"/>
          <w:vertAlign w:val="superscript"/>
        </w:rPr>
        <w:t>6</w:t>
      </w:r>
      <w:r>
        <w:rPr>
          <w:rFonts w:hint="eastAsia"/>
        </w:rPr>
        <w:t>，跳过重复的预填充计算，缓存命中对应的Token执行优惠计费规则，呈现出输入Token数量不变、实际付费成本显著下降的特征。依托该缓存复用机制，企业需对高频、高重复度的场景构建显示缓存机制，提高模型的注意力命中率，降低响应延迟并削减重复文本带来的算力损耗与调用成本。</w:t>
      </w:r>
    </w:p>
    <w:p w14:paraId="5203107E">
      <w:pPr>
        <w:numPr>
          <w:ilvl w:val="255"/>
          <w:numId w:val="0"/>
        </w:numPr>
        <w:ind w:firstLine="640" w:firstLineChars="200"/>
      </w:pPr>
      <w:r>
        <w:rPr>
          <w:rFonts w:hint="eastAsia"/>
          <w:b/>
          <w:bCs/>
        </w:rPr>
        <w:t>常见不合理管理行为</w:t>
      </w:r>
      <w:r>
        <w:rPr>
          <w:rFonts w:hint="eastAsia"/>
        </w:rPr>
        <w:t>：①用户频繁开启新会话，导致系统重新介绍背景信息或读取相关文件，导致输入Token按全价计费，无法享受缓存折扣。②企业系统未设置显示缓存机制，或缓存机制将高频变化的信息设置为缓存重点、缓存机制核心要素设置不合理等，导致无法享受计费折扣。</w:t>
      </w:r>
    </w:p>
    <w:p w14:paraId="1B41AAAF">
      <w:pPr>
        <w:numPr>
          <w:ilvl w:val="255"/>
          <w:numId w:val="0"/>
        </w:numPr>
        <w:jc w:val="center"/>
        <w:rPr>
          <w:rFonts w:hint="eastAsia" w:ascii="黑体" w:hAnsi="黑体" w:eastAsia="黑体" w:cs="黑体"/>
          <w:sz w:val="24"/>
          <w:szCs w:val="21"/>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1</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制造业企业云端部署模式下显示缓存核心指标设置建议</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9"/>
        <w:gridCol w:w="1793"/>
        <w:gridCol w:w="4119"/>
      </w:tblGrid>
      <w:tr w14:paraId="64B9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2749" w:type="dxa"/>
            <w:vAlign w:val="center"/>
          </w:tcPr>
          <w:p w14:paraId="14DEC174">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指标</w:t>
            </w:r>
          </w:p>
        </w:tc>
        <w:tc>
          <w:tcPr>
            <w:tcW w:w="1793" w:type="dxa"/>
            <w:vAlign w:val="center"/>
          </w:tcPr>
          <w:p w14:paraId="3D269D0C">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推荐阈值</w:t>
            </w:r>
          </w:p>
        </w:tc>
        <w:tc>
          <w:tcPr>
            <w:tcW w:w="4119" w:type="dxa"/>
            <w:vAlign w:val="center"/>
          </w:tcPr>
          <w:p w14:paraId="1A5348A4">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适用场景</w:t>
            </w:r>
          </w:p>
        </w:tc>
      </w:tr>
      <w:tr w14:paraId="7637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tcPr>
          <w:p w14:paraId="0D516291">
            <w:pPr>
              <w:widowControl/>
              <w:numPr>
                <w:ilvl w:val="255"/>
                <w:numId w:val="0"/>
              </w:numPr>
              <w:spacing w:line="400" w:lineRule="exact"/>
              <w:jc w:val="center"/>
              <w:rPr>
                <w:sz w:val="22"/>
                <w:szCs w:val="20"/>
              </w:rPr>
            </w:pPr>
            <w:r>
              <w:rPr>
                <w:sz w:val="22"/>
                <w:szCs w:val="20"/>
              </w:rPr>
              <w:t>显式缓存最小Token数</w:t>
            </w:r>
          </w:p>
        </w:tc>
        <w:tc>
          <w:tcPr>
            <w:tcW w:w="1793" w:type="dxa"/>
          </w:tcPr>
          <w:p w14:paraId="7ECC88EC">
            <w:pPr>
              <w:widowControl/>
              <w:numPr>
                <w:ilvl w:val="255"/>
                <w:numId w:val="0"/>
              </w:numPr>
              <w:spacing w:line="400" w:lineRule="exact"/>
              <w:jc w:val="center"/>
              <w:rPr>
                <w:sz w:val="22"/>
                <w:szCs w:val="20"/>
              </w:rPr>
            </w:pPr>
            <w:r>
              <w:rPr>
                <w:sz w:val="22"/>
                <w:szCs w:val="20"/>
              </w:rPr>
              <w:t>≥1024</w:t>
            </w:r>
          </w:p>
        </w:tc>
        <w:tc>
          <w:tcPr>
            <w:tcW w:w="4119" w:type="dxa"/>
          </w:tcPr>
          <w:p w14:paraId="2E0C8DE6">
            <w:pPr>
              <w:widowControl/>
              <w:numPr>
                <w:ilvl w:val="255"/>
                <w:numId w:val="0"/>
              </w:numPr>
              <w:spacing w:line="400" w:lineRule="exact"/>
              <w:jc w:val="center"/>
              <w:rPr>
                <w:sz w:val="22"/>
                <w:szCs w:val="20"/>
              </w:rPr>
            </w:pPr>
            <w:r>
              <w:rPr>
                <w:sz w:val="22"/>
                <w:szCs w:val="20"/>
              </w:rPr>
              <w:t>高频重复前缀（系统提示词、知识库）</w:t>
            </w:r>
          </w:p>
        </w:tc>
      </w:tr>
      <w:tr w14:paraId="16EC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14:paraId="0CA626A1">
            <w:pPr>
              <w:widowControl/>
              <w:numPr>
                <w:ilvl w:val="255"/>
                <w:numId w:val="0"/>
              </w:numPr>
              <w:spacing w:line="360" w:lineRule="exact"/>
              <w:jc w:val="center"/>
              <w:rPr>
                <w:sz w:val="22"/>
                <w:szCs w:val="20"/>
              </w:rPr>
            </w:pPr>
            <w:r>
              <w:rPr>
                <w:rFonts w:hint="eastAsia"/>
                <w:sz w:val="22"/>
                <w:szCs w:val="20"/>
              </w:rPr>
              <w:t>显示缓存有效期</w:t>
            </w:r>
          </w:p>
        </w:tc>
        <w:tc>
          <w:tcPr>
            <w:tcW w:w="1793" w:type="dxa"/>
            <w:vAlign w:val="center"/>
          </w:tcPr>
          <w:p w14:paraId="2D660A65">
            <w:pPr>
              <w:widowControl/>
              <w:numPr>
                <w:ilvl w:val="255"/>
                <w:numId w:val="0"/>
              </w:numPr>
              <w:spacing w:line="360" w:lineRule="exact"/>
              <w:jc w:val="center"/>
              <w:rPr>
                <w:sz w:val="22"/>
                <w:szCs w:val="20"/>
              </w:rPr>
            </w:pPr>
            <w:r>
              <w:rPr>
                <w:rFonts w:hint="eastAsia"/>
                <w:sz w:val="22"/>
                <w:szCs w:val="20"/>
              </w:rPr>
              <w:t>5</w:t>
            </w:r>
            <w:r>
              <w:rPr>
                <w:sz w:val="22"/>
                <w:szCs w:val="20"/>
              </w:rPr>
              <w:t>分钟</w:t>
            </w:r>
          </w:p>
          <w:p w14:paraId="475EF88C">
            <w:pPr>
              <w:widowControl/>
              <w:numPr>
                <w:ilvl w:val="255"/>
                <w:numId w:val="0"/>
              </w:numPr>
              <w:spacing w:line="360" w:lineRule="exact"/>
              <w:jc w:val="center"/>
              <w:rPr>
                <w:sz w:val="22"/>
                <w:szCs w:val="20"/>
              </w:rPr>
            </w:pPr>
            <w:r>
              <w:rPr>
                <w:sz w:val="22"/>
                <w:szCs w:val="20"/>
              </w:rPr>
              <w:t>（命中重置）</w:t>
            </w:r>
          </w:p>
        </w:tc>
        <w:tc>
          <w:tcPr>
            <w:tcW w:w="4119" w:type="dxa"/>
            <w:vAlign w:val="center"/>
          </w:tcPr>
          <w:p w14:paraId="55A823EF">
            <w:pPr>
              <w:widowControl/>
              <w:numPr>
                <w:ilvl w:val="255"/>
                <w:numId w:val="0"/>
              </w:numPr>
              <w:spacing w:line="360" w:lineRule="exact"/>
              <w:jc w:val="center"/>
              <w:rPr>
                <w:sz w:val="22"/>
                <w:szCs w:val="20"/>
              </w:rPr>
            </w:pPr>
            <w:r>
              <w:rPr>
                <w:sz w:val="22"/>
                <w:szCs w:val="20"/>
              </w:rPr>
              <w:t>同一前缀在5分钟内被≥2次调用</w:t>
            </w:r>
          </w:p>
        </w:tc>
      </w:tr>
      <w:tr w14:paraId="7290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tcPr>
          <w:p w14:paraId="2B6DEB04">
            <w:pPr>
              <w:widowControl/>
              <w:numPr>
                <w:ilvl w:val="255"/>
                <w:numId w:val="0"/>
              </w:numPr>
              <w:spacing w:line="400" w:lineRule="exact"/>
              <w:jc w:val="center"/>
              <w:rPr>
                <w:sz w:val="22"/>
                <w:szCs w:val="20"/>
              </w:rPr>
            </w:pPr>
            <w:r>
              <w:rPr>
                <w:sz w:val="22"/>
                <w:szCs w:val="20"/>
              </w:rPr>
              <w:t>压缩触发阈值</w:t>
            </w:r>
          </w:p>
        </w:tc>
        <w:tc>
          <w:tcPr>
            <w:tcW w:w="1793" w:type="dxa"/>
          </w:tcPr>
          <w:p w14:paraId="3D977AB2">
            <w:pPr>
              <w:widowControl/>
              <w:numPr>
                <w:ilvl w:val="255"/>
                <w:numId w:val="0"/>
              </w:numPr>
              <w:spacing w:line="400" w:lineRule="exact"/>
              <w:jc w:val="center"/>
              <w:rPr>
                <w:sz w:val="22"/>
                <w:szCs w:val="20"/>
              </w:rPr>
            </w:pPr>
            <w:r>
              <w:rPr>
                <w:sz w:val="22"/>
                <w:szCs w:val="20"/>
              </w:rPr>
              <w:t>上下文窗口70%</w:t>
            </w:r>
          </w:p>
        </w:tc>
        <w:tc>
          <w:tcPr>
            <w:tcW w:w="4119" w:type="dxa"/>
          </w:tcPr>
          <w:p w14:paraId="3D4F2A45">
            <w:pPr>
              <w:widowControl/>
              <w:numPr>
                <w:ilvl w:val="255"/>
                <w:numId w:val="0"/>
              </w:numPr>
              <w:spacing w:line="400" w:lineRule="exact"/>
              <w:jc w:val="center"/>
              <w:rPr>
                <w:sz w:val="22"/>
                <w:szCs w:val="20"/>
              </w:rPr>
            </w:pPr>
            <w:r>
              <w:rPr>
                <w:sz w:val="22"/>
                <w:szCs w:val="20"/>
              </w:rPr>
              <w:t>多轮长对话</w:t>
            </w:r>
          </w:p>
        </w:tc>
      </w:tr>
      <w:tr w14:paraId="0FFA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tcPr>
          <w:p w14:paraId="023EE913">
            <w:pPr>
              <w:widowControl/>
              <w:numPr>
                <w:ilvl w:val="255"/>
                <w:numId w:val="0"/>
              </w:numPr>
              <w:spacing w:line="400" w:lineRule="exact"/>
              <w:jc w:val="center"/>
              <w:rPr>
                <w:sz w:val="22"/>
                <w:szCs w:val="20"/>
              </w:rPr>
            </w:pPr>
            <w:r>
              <w:rPr>
                <w:sz w:val="22"/>
                <w:szCs w:val="20"/>
              </w:rPr>
              <w:t>保留阈值</w:t>
            </w:r>
          </w:p>
        </w:tc>
        <w:tc>
          <w:tcPr>
            <w:tcW w:w="1793" w:type="dxa"/>
          </w:tcPr>
          <w:p w14:paraId="48DAE354">
            <w:pPr>
              <w:widowControl/>
              <w:numPr>
                <w:ilvl w:val="255"/>
                <w:numId w:val="0"/>
              </w:numPr>
              <w:spacing w:line="400" w:lineRule="exact"/>
              <w:jc w:val="center"/>
              <w:rPr>
                <w:sz w:val="22"/>
                <w:szCs w:val="20"/>
              </w:rPr>
            </w:pPr>
            <w:r>
              <w:rPr>
                <w:sz w:val="22"/>
                <w:szCs w:val="20"/>
              </w:rPr>
              <w:t>保留最近30%</w:t>
            </w:r>
          </w:p>
        </w:tc>
        <w:tc>
          <w:tcPr>
            <w:tcW w:w="4119" w:type="dxa"/>
          </w:tcPr>
          <w:p w14:paraId="694969E2">
            <w:pPr>
              <w:widowControl/>
              <w:numPr>
                <w:ilvl w:val="255"/>
                <w:numId w:val="0"/>
              </w:numPr>
              <w:spacing w:line="400" w:lineRule="exact"/>
              <w:jc w:val="center"/>
              <w:rPr>
                <w:sz w:val="22"/>
                <w:szCs w:val="20"/>
              </w:rPr>
            </w:pPr>
            <w:r>
              <w:rPr>
                <w:sz w:val="22"/>
                <w:szCs w:val="20"/>
              </w:rPr>
              <w:t>平衡信息保留与空间释放</w:t>
            </w:r>
          </w:p>
        </w:tc>
      </w:tr>
      <w:tr w14:paraId="3148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14:paraId="5FD14ACF">
            <w:pPr>
              <w:widowControl/>
              <w:numPr>
                <w:ilvl w:val="255"/>
                <w:numId w:val="0"/>
              </w:numPr>
              <w:spacing w:line="400" w:lineRule="exact"/>
              <w:jc w:val="center"/>
              <w:rPr>
                <w:sz w:val="22"/>
                <w:szCs w:val="20"/>
              </w:rPr>
            </w:pPr>
            <w:r>
              <w:rPr>
                <w:sz w:val="22"/>
                <w:szCs w:val="20"/>
              </w:rPr>
              <w:t>核心业务TTL</w:t>
            </w:r>
            <w:r>
              <w:rPr>
                <w:rFonts w:hint="eastAsia"/>
                <w:sz w:val="22"/>
                <w:szCs w:val="20"/>
                <w:vertAlign w:val="superscript"/>
              </w:rPr>
              <w:t>7</w:t>
            </w:r>
          </w:p>
          <w:p w14:paraId="40281D7C">
            <w:pPr>
              <w:widowControl/>
              <w:numPr>
                <w:ilvl w:val="255"/>
                <w:numId w:val="0"/>
              </w:numPr>
              <w:spacing w:line="400" w:lineRule="exact"/>
              <w:jc w:val="center"/>
              <w:rPr>
                <w:sz w:val="22"/>
                <w:szCs w:val="20"/>
              </w:rPr>
            </w:pPr>
            <w:r>
              <w:rPr>
                <w:rFonts w:hint="eastAsia"/>
                <w:sz w:val="22"/>
                <w:szCs w:val="20"/>
              </w:rPr>
              <w:t>（缓存结果的有效时长）</w:t>
            </w:r>
          </w:p>
        </w:tc>
        <w:tc>
          <w:tcPr>
            <w:tcW w:w="1793" w:type="dxa"/>
            <w:vAlign w:val="center"/>
          </w:tcPr>
          <w:p w14:paraId="11221FF9">
            <w:pPr>
              <w:widowControl/>
              <w:numPr>
                <w:ilvl w:val="255"/>
                <w:numId w:val="0"/>
              </w:numPr>
              <w:spacing w:line="400" w:lineRule="exact"/>
              <w:jc w:val="center"/>
              <w:rPr>
                <w:sz w:val="22"/>
                <w:szCs w:val="20"/>
              </w:rPr>
            </w:pPr>
            <w:r>
              <w:rPr>
                <w:rFonts w:hint="eastAsia"/>
                <w:sz w:val="22"/>
                <w:szCs w:val="20"/>
              </w:rPr>
              <w:t>30分钟</w:t>
            </w:r>
          </w:p>
        </w:tc>
        <w:tc>
          <w:tcPr>
            <w:tcW w:w="4119" w:type="dxa"/>
            <w:vAlign w:val="center"/>
          </w:tcPr>
          <w:p w14:paraId="280DCC01">
            <w:pPr>
              <w:widowControl/>
              <w:numPr>
                <w:ilvl w:val="255"/>
                <w:numId w:val="0"/>
              </w:numPr>
              <w:spacing w:line="400" w:lineRule="exact"/>
              <w:jc w:val="center"/>
              <w:rPr>
                <w:sz w:val="22"/>
                <w:szCs w:val="20"/>
              </w:rPr>
            </w:pPr>
            <w:r>
              <w:rPr>
                <w:sz w:val="22"/>
                <w:szCs w:val="20"/>
              </w:rPr>
              <w:t>风控、审批等深度推理</w:t>
            </w:r>
          </w:p>
        </w:tc>
      </w:tr>
      <w:tr w14:paraId="4D73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tcPr>
          <w:p w14:paraId="374B6586">
            <w:pPr>
              <w:widowControl/>
              <w:numPr>
                <w:ilvl w:val="255"/>
                <w:numId w:val="0"/>
              </w:numPr>
              <w:spacing w:line="400" w:lineRule="exact"/>
              <w:jc w:val="center"/>
              <w:rPr>
                <w:sz w:val="22"/>
                <w:szCs w:val="20"/>
              </w:rPr>
            </w:pPr>
            <w:r>
              <w:rPr>
                <w:rFonts w:hint="eastAsia"/>
                <w:sz w:val="22"/>
                <w:szCs w:val="20"/>
              </w:rPr>
              <w:t>通用服务TTL</w:t>
            </w:r>
          </w:p>
        </w:tc>
        <w:tc>
          <w:tcPr>
            <w:tcW w:w="1793" w:type="dxa"/>
          </w:tcPr>
          <w:p w14:paraId="7D8BE307">
            <w:pPr>
              <w:widowControl/>
              <w:numPr>
                <w:ilvl w:val="255"/>
                <w:numId w:val="0"/>
              </w:numPr>
              <w:spacing w:line="400" w:lineRule="exact"/>
              <w:jc w:val="center"/>
              <w:rPr>
                <w:sz w:val="22"/>
                <w:szCs w:val="20"/>
              </w:rPr>
            </w:pPr>
            <w:r>
              <w:rPr>
                <w:rFonts w:hint="eastAsia"/>
                <w:sz w:val="22"/>
                <w:szCs w:val="20"/>
              </w:rPr>
              <w:t>3分钟</w:t>
            </w:r>
          </w:p>
        </w:tc>
        <w:tc>
          <w:tcPr>
            <w:tcW w:w="4119" w:type="dxa"/>
          </w:tcPr>
          <w:p w14:paraId="227581B7">
            <w:pPr>
              <w:widowControl/>
              <w:numPr>
                <w:ilvl w:val="255"/>
                <w:numId w:val="0"/>
              </w:numPr>
              <w:spacing w:line="400" w:lineRule="exact"/>
              <w:jc w:val="center"/>
              <w:rPr>
                <w:sz w:val="22"/>
                <w:szCs w:val="20"/>
              </w:rPr>
            </w:pPr>
            <w:r>
              <w:rPr>
                <w:sz w:val="22"/>
                <w:szCs w:val="20"/>
              </w:rPr>
              <w:t>临时性Q&amp;A</w:t>
            </w:r>
          </w:p>
        </w:tc>
      </w:tr>
    </w:tbl>
    <w:p w14:paraId="653349E3">
      <w:pPr>
        <w:pStyle w:val="5"/>
        <w:ind w:firstLine="643" w:firstLineChars="0"/>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（4）Prompt</w:t>
      </w:r>
      <w:r>
        <w:rPr>
          <w:rFonts w:hint="eastAsia" w:ascii="Times New Roman" w:hAnsi="Times New Roman" w:eastAsia="方正仿宋_GBK" w:cs="Times New Roman"/>
          <w:b/>
          <w:bCs/>
          <w:color w:val="auto"/>
          <w:sz w:val="32"/>
          <w:szCs w:val="32"/>
          <w:vertAlign w:val="superscript"/>
        </w:rPr>
        <w:t>8</w:t>
      </w:r>
      <w:r>
        <w:rPr>
          <w:rFonts w:hint="eastAsia" w:ascii="Times New Roman" w:hAnsi="Times New Roman" w:eastAsia="方正仿宋_GBK" w:cs="Times New Roman"/>
          <w:b/>
          <w:bCs/>
          <w:color w:val="auto"/>
          <w:sz w:val="32"/>
          <w:szCs w:val="32"/>
        </w:rPr>
        <w:t>管理</w:t>
      </w:r>
    </w:p>
    <w:p w14:paraId="542817C3">
      <w:pPr>
        <w:ind w:firstLine="643"/>
      </w:pPr>
      <w:r>
        <w:rPr>
          <w:rFonts w:hint="eastAsia"/>
          <w:b/>
          <w:bCs/>
        </w:rPr>
        <w:t>影响机制</w:t>
      </w:r>
      <w:r>
        <w:rPr>
          <w:rFonts w:hint="eastAsia"/>
        </w:rPr>
        <w:t>：制造业的核心难点在于模型缺乏领域知识，需通过Prompt管理框定模型在专业领域内作答，抑制幻觉，避免因大量幻觉造成Token无效消耗。一方面，在用户端，用户输入的提示词长度、指令清晰度直接影响着Token消耗量。指令越清晰，模型输出的冗余和试探性内容越少，总Token消耗越低；另一方面，在系统端，在System Prompt</w:t>
      </w:r>
      <w:r>
        <w:rPr>
          <w:rFonts w:hint="eastAsia"/>
          <w:vertAlign w:val="superscript"/>
        </w:rPr>
        <w:t>9</w:t>
      </w:r>
      <w:r>
        <w:rPr>
          <w:rFonts w:hint="eastAsia"/>
        </w:rPr>
        <w:t>中固定写入角色定义、专业领域约束、术语规范和输出格式等稳定内容，有利于多轮交互中前缀缓存命中，减少重复的prefill</w:t>
      </w:r>
      <w:r>
        <w:rPr>
          <w:rFonts w:hint="eastAsia"/>
          <w:vertAlign w:val="superscript"/>
        </w:rPr>
        <w:t>10</w:t>
      </w:r>
      <w:r>
        <w:rPr>
          <w:rFonts w:hint="eastAsia"/>
        </w:rPr>
        <w:t>计算开销，降低首Token延迟。</w:t>
      </w:r>
    </w:p>
    <w:p w14:paraId="03781F9D">
      <w:pPr>
        <w:numPr>
          <w:ilvl w:val="255"/>
          <w:numId w:val="0"/>
        </w:numPr>
        <w:ind w:firstLine="643"/>
      </w:pPr>
      <w:r>
        <w:rPr>
          <w:rFonts w:hint="eastAsia"/>
          <w:b/>
          <w:bCs/>
        </w:rPr>
        <w:t>常见不合理管理行为</w:t>
      </w:r>
      <w:r>
        <w:rPr>
          <w:rFonts w:hint="eastAsia"/>
        </w:rPr>
        <w:t>：①企业在编写Prompt时，存在无角色约束、无输出格式约束、指令模糊笼统等问题，同一概念在不同Prompt中术语表述不统一，业务参数直接硬编码在模板中而非通过变量动态注入。②在架构设计层面，企业将动态业务数据混入System Prompt，导致多轮交互中前缀缓存无法命中，重复计算开销居高不下。</w:t>
      </w:r>
    </w:p>
    <w:p w14:paraId="64456F61">
      <w:pPr>
        <w:pStyle w:val="4"/>
        <w:ind w:firstLine="643"/>
      </w:pPr>
      <w:bookmarkStart w:id="15" w:name="_Toc13762"/>
      <w:bookmarkStart w:id="16" w:name="_Toc2498"/>
      <w:bookmarkStart w:id="17" w:name="_Toc859"/>
      <w:r>
        <w:rPr>
          <w:rFonts w:hint="eastAsia"/>
        </w:rPr>
        <w:t>2.对成本管控的管理</w:t>
      </w:r>
      <w:bookmarkEnd w:id="15"/>
      <w:bookmarkEnd w:id="16"/>
      <w:bookmarkEnd w:id="17"/>
    </w:p>
    <w:p w14:paraId="4DD3414A">
      <w:pPr>
        <w:ind w:firstLine="640"/>
      </w:pPr>
      <w:r>
        <w:rPr>
          <w:rFonts w:hint="eastAsia"/>
        </w:rPr>
        <w:t>API调用具有高频、碎片化和多并发的特点，传统的总账式财务管理极易导致成本失控。通过建立精细化的Token成本核算体系，将费用颗粒度细化到部门级、项目级乃至业务级，将AI消耗与业务收益绑定，是打破Token应用“黑盒”，实现企业AI投入的可视、可管、可算与可追溯的重要手段。</w:t>
      </w:r>
    </w:p>
    <w:p w14:paraId="75DE1DCF">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（1）用量配额管理</w:t>
      </w:r>
    </w:p>
    <w:p w14:paraId="7649D0A9">
      <w:pPr>
        <w:ind w:firstLine="643"/>
      </w:pPr>
      <w:r>
        <w:rPr>
          <w:rFonts w:hint="eastAsia"/>
          <w:b/>
          <w:bCs/>
        </w:rPr>
        <w:t>影响机制</w:t>
      </w:r>
      <w:r>
        <w:rPr>
          <w:rFonts w:hint="eastAsia"/>
        </w:rPr>
        <w:t>：目前，公有云厂商在API调用时并发技术已十分成熟，能够支撑企业内部多业务部门、多项目并行的模型应用请求。在此背景下，一旦缺乏明确的边界限制，极易引发预算失控与资源挤兑。通过为不同业务线、部门或独立项目设置独立的Token配额，能够确保各个业务单元仅在分配的预算池内运行，不仅防止某个业务的突发流量或异常循环调用导致企业整体算力资源耗尽，还能通过差异化配额确保核心生产业务的Token调用额度。</w:t>
      </w:r>
    </w:p>
    <w:p w14:paraId="4E64D967">
      <w:pPr>
        <w:ind w:firstLine="643"/>
      </w:pPr>
      <w:r>
        <w:rPr>
          <w:rFonts w:hint="eastAsia"/>
          <w:b/>
          <w:bCs/>
        </w:rPr>
        <w:t>常见不合理管理行为</w:t>
      </w:r>
      <w:r>
        <w:rPr>
          <w:rFonts w:hint="eastAsia"/>
        </w:rPr>
        <w:t>：①企业未根据各业务线的实际流量特征和重要程度进行差异化配置，导致低频高优业务与高频低优业务抢占相同的并发速率，造成核心业务在高峰期响应延迟。②企业仅在项目初期进行Token配额分配，缺乏事后的成本归因与ROI</w:t>
      </w:r>
      <w:r>
        <w:rPr>
          <w:rFonts w:hint="eastAsia"/>
          <w:vertAlign w:val="superscript"/>
        </w:rPr>
        <w:t>11</w:t>
      </w:r>
      <w:r>
        <w:rPr>
          <w:rFonts w:hint="eastAsia"/>
        </w:rPr>
        <w:t>评估，对长期消耗高但业务收益低的项目未及时收回或削减配额，导致资源长期被无效占用。</w:t>
      </w:r>
    </w:p>
    <w:p w14:paraId="53692B3A">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（2）财务归因管理</w:t>
      </w:r>
    </w:p>
    <w:p w14:paraId="043F1957">
      <w:pPr>
        <w:ind w:firstLine="643"/>
      </w:pPr>
      <w:r>
        <w:rPr>
          <w:rFonts w:hint="eastAsia"/>
          <w:b/>
          <w:bCs/>
        </w:rPr>
        <w:t>影响机制</w:t>
      </w:r>
      <w:r>
        <w:rPr>
          <w:rFonts w:hint="eastAsia"/>
        </w:rPr>
        <w:t>：公有云API模式下，Token消耗是跟用户量、业务场景线性相关的，若所有部门共享一个账单，极易出现验证困难的结果。通过建立财务归因体系，将Token消耗费用精准拆解到具体部门、项目组甚至产品线，为企业内部费用展示与成本结算提供数据依据，从而主动约束不合理的调用行为。</w:t>
      </w:r>
    </w:p>
    <w:p w14:paraId="7E6282EB">
      <w:pPr>
        <w:ind w:firstLine="643"/>
      </w:pPr>
      <w:r>
        <w:rPr>
          <w:rFonts w:hint="eastAsia"/>
          <w:b/>
          <w:bCs/>
        </w:rPr>
        <w:t>常见不合理管理行为</w:t>
      </w:r>
      <w:r>
        <w:rPr>
          <w:rFonts w:hint="eastAsia"/>
        </w:rPr>
        <w:t>：采用统一账单，缺乏精细化的成本归因，导致大量资源在系统中持续被消耗，却不清楚消耗在哪、产生的业务价值，最终陷入验证黑洞。</w:t>
      </w:r>
    </w:p>
    <w:p w14:paraId="1619491D">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（3）ROI评估管理</w:t>
      </w:r>
    </w:p>
    <w:p w14:paraId="40883BE9">
      <w:pPr>
        <w:ind w:firstLine="643"/>
      </w:pPr>
      <w:r>
        <w:rPr>
          <w:rFonts w:hint="eastAsia"/>
          <w:b/>
          <w:bCs/>
        </w:rPr>
        <w:t>影响机制</w:t>
      </w:r>
      <w:r>
        <w:rPr>
          <w:rFonts w:hint="eastAsia"/>
        </w:rPr>
        <w:t>：在Token成本归因的基础上，进一步量化Token消耗所转化出的业务收益，企业才能确认不同AI项目的投入产出比，从而对于投资回报率高的核心业务追加预算，对于投资回报率低的边缘项目削减配额，以确保企业AI投入始终沿高价值方向演进。</w:t>
      </w:r>
    </w:p>
    <w:p w14:paraId="253BF052">
      <w:pPr>
        <w:ind w:firstLine="643"/>
      </w:pPr>
      <w:r>
        <w:rPr>
          <w:rFonts w:hint="eastAsia"/>
          <w:b/>
          <w:bCs/>
        </w:rPr>
        <w:t>常见不合理管理行为</w:t>
      </w:r>
      <w:r>
        <w:rPr>
          <w:rFonts w:hint="eastAsia"/>
        </w:rPr>
        <w:t>：制定的ROI评估标准不合理，或ROI折算口径全局不统一，导致数据无法横向对比。</w:t>
      </w:r>
    </w:p>
    <w:p w14:paraId="252DC9B4">
      <w:pPr>
        <w:pStyle w:val="4"/>
        <w:ind w:firstLine="643"/>
      </w:pPr>
      <w:bookmarkStart w:id="18" w:name="_Toc25007"/>
      <w:bookmarkStart w:id="19" w:name="_Toc29440"/>
      <w:bookmarkStart w:id="20" w:name="_Toc8376"/>
      <w:r>
        <w:rPr>
          <w:rFonts w:hint="eastAsia"/>
        </w:rPr>
        <w:t>3.对数据安全的管理</w:t>
      </w:r>
      <w:bookmarkEnd w:id="18"/>
      <w:bookmarkEnd w:id="19"/>
      <w:bookmarkEnd w:id="20"/>
    </w:p>
    <w:p w14:paraId="47C3B66C">
      <w:pPr>
        <w:numPr>
          <w:ilvl w:val="255"/>
          <w:numId w:val="0"/>
        </w:numPr>
        <w:ind w:firstLine="640" w:firstLineChars="200"/>
      </w:pPr>
      <w:r>
        <w:rPr>
          <w:rFonts w:hint="eastAsia"/>
        </w:rPr>
        <w:t>企业通过API调用大模型时，数据传输的公网、数据云端存储的数据库以及访问数据的端口均存在被攻击的风险，Token管理作为数据安全管理的核心防线，成为企业数据出域安全管控的关键抓手。</w:t>
      </w:r>
    </w:p>
    <w:p w14:paraId="02176037">
      <w:pPr>
        <w:pStyle w:val="5"/>
        <w:ind w:firstLine="643"/>
        <w:rPr>
          <w:rFonts w:ascii="Times New Roman" w:hAnsi="Times New Roman" w:eastAsia="方正仿宋_GBK" w:cs="Times New Roman"/>
          <w:color w:val="auto"/>
          <w:sz w:val="32"/>
          <w:szCs w:val="32"/>
        </w:rPr>
      </w:pPr>
      <w:r>
        <w:rPr>
          <w:rFonts w:hint="eastAsia" w:ascii="Times New Roman" w:hAnsi="Times New Roman" w:eastAsia="方正仿宋_GBK" w:cs="Times New Roman"/>
          <w:b/>
          <w:bCs/>
          <w:color w:val="auto"/>
          <w:sz w:val="32"/>
          <w:szCs w:val="32"/>
        </w:rPr>
        <w:t>（1）数据出域脱敏管理</w:t>
      </w:r>
    </w:p>
    <w:p w14:paraId="208FFA0F">
      <w:pPr>
        <w:ind w:firstLine="643"/>
      </w:pPr>
      <w:r>
        <w:rPr>
          <w:rFonts w:hint="eastAsia"/>
          <w:b/>
          <w:bCs/>
        </w:rPr>
        <w:t>影响机制</w:t>
      </w:r>
      <w:r>
        <w:rPr>
          <w:rFonts w:hint="eastAsia"/>
        </w:rPr>
        <w:t>：API调用模式下，Prompt和上下文数据往往会以日志、缓存或数据库记录的形式落地，将包含敏感数据的Prompt发送至云端模型时，存在被留存、泄露或用于模型训练的风险。因此，在数据发送给云端模型之前，通过Token安全网关实时扫描Prompt内容，拦截违规内容，防范员工在非涉密AI工具中输入内部敏感数据导致的投喂式泄密，以及黑客通过海量Token汇总分析挖掘涉密信息的碎片式泄密，是防止核心数据流入云端模型训练或推理链路的关键手段。</w:t>
      </w:r>
    </w:p>
    <w:p w14:paraId="18CD1E05">
      <w:pPr>
        <w:ind w:firstLine="643"/>
      </w:pPr>
      <w:r>
        <w:rPr>
          <w:rFonts w:hint="eastAsia"/>
          <w:b/>
          <w:bCs/>
        </w:rPr>
        <w:t>常见不合理管理行为</w:t>
      </w:r>
      <w:r>
        <w:rPr>
          <w:rFonts w:hint="eastAsia"/>
        </w:rPr>
        <w:t>：①企业仅依赖传统的文件级或数据库级脱敏，直接将包含商业机密、个人隐私的原始文本作为Prompt发送给大模型。②企业AI工具的使用权限与员工的业务权限未做分级管控，发生越权调用情况。</w:t>
      </w:r>
    </w:p>
    <w:p w14:paraId="1A22DB2B">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（2）API凭证安全管理</w:t>
      </w:r>
    </w:p>
    <w:p w14:paraId="72FF7655">
      <w:pPr>
        <w:ind w:firstLine="643"/>
      </w:pPr>
      <w:r>
        <w:rPr>
          <w:rFonts w:hint="eastAsia"/>
          <w:b/>
          <w:bCs/>
        </w:rPr>
        <w:t>影响机制</w:t>
      </w:r>
      <w:r>
        <w:rPr>
          <w:rFonts w:hint="eastAsia"/>
        </w:rPr>
        <w:t>：API凭证是企业链接公有云的唯一专属凭证，与企业大模型应用账户安全与财务费用直接关联。一方面，API凭证泄露可能造成攻击者恶意盗刷，带来Token消耗失控的后果。另一方面，合理的API凭证管理要求为不同的业务、项目甚至不同的Agent分配独立凭证或子账号凭证，使得Token的消耗可以按凭证级别、会话级别甚至任务级别进行精准归因，从而实现企业成本优化与预算控制。</w:t>
      </w:r>
    </w:p>
    <w:p w14:paraId="57C3723C">
      <w:pPr>
        <w:ind w:firstLine="643"/>
      </w:pPr>
      <w:r>
        <w:rPr>
          <w:rFonts w:hint="eastAsia"/>
          <w:b/>
          <w:bCs/>
        </w:rPr>
        <w:t>常见不合理管理行为</w:t>
      </w:r>
      <w:r>
        <w:rPr>
          <w:rFonts w:hint="eastAsia"/>
        </w:rPr>
        <w:t>：①企业将API凭证明文硬编码写入前端代码、代码库或日志等公开或半公开环境，或者多个项目共享同一个拥有全量权限的主凭证。②企业缺乏凭证的定期轮换和自动过期机制，员工离职或项目下线后，旧凭证仍在后台运行；或未对API凭证设置调用频率限制和Token预算上限。</w:t>
      </w:r>
    </w:p>
    <w:p w14:paraId="38EB90E3">
      <w:pPr>
        <w:pStyle w:val="3"/>
        <w:rPr>
          <w:bCs w:val="0"/>
        </w:rPr>
      </w:pPr>
      <w:bookmarkStart w:id="21" w:name="_Toc3256"/>
      <w:bookmarkStart w:id="22" w:name="_Toc4403"/>
      <w:bookmarkStart w:id="23" w:name="_Toc4554"/>
      <w:r>
        <w:rPr>
          <w:rFonts w:hint="eastAsia"/>
        </w:rPr>
        <w:t>（二）</w:t>
      </w:r>
      <w:r>
        <w:t>本地部署</w:t>
      </w:r>
      <w:r>
        <w:rPr>
          <w:rFonts w:hint="eastAsia"/>
          <w:bCs w:val="0"/>
        </w:rPr>
        <w:t>模式</w:t>
      </w:r>
      <w:bookmarkEnd w:id="21"/>
      <w:bookmarkEnd w:id="22"/>
      <w:bookmarkEnd w:id="23"/>
    </w:p>
    <w:p w14:paraId="57B10C95">
      <w:pPr>
        <w:ind w:firstLine="640"/>
      </w:pPr>
      <w:r>
        <w:t>本地部署</w:t>
      </w:r>
      <w:r>
        <w:rPr>
          <w:rFonts w:hint="eastAsia"/>
        </w:rPr>
        <w:t>模式，是指将模型部署在企业自有服务器或私有云环境中，将其封装为内部API服务以提供推理能力的模式。在此模式下，企业自持GPU、服务器等硬件资源，不存在云端按Token计费的规则，Token消耗与企业自有算力、存储资源占用直接关联。Token管理的核心在于依托Token消耗规律统筹全局硬件资源调度，提升算力基础设施利用效能。</w:t>
      </w:r>
    </w:p>
    <w:p w14:paraId="411A1035">
      <w:pPr>
        <w:pStyle w:val="4"/>
        <w:ind w:firstLine="643" w:firstLineChars="0"/>
      </w:pPr>
      <w:bookmarkStart w:id="24" w:name="_Toc24101"/>
      <w:bookmarkStart w:id="25" w:name="_Toc14588"/>
      <w:bookmarkStart w:id="26" w:name="_Toc32517"/>
      <w:r>
        <w:rPr>
          <w:rFonts w:hint="eastAsia"/>
        </w:rPr>
        <w:t>1.对显存资源的管理</w:t>
      </w:r>
      <w:bookmarkEnd w:id="24"/>
      <w:bookmarkEnd w:id="25"/>
      <w:bookmarkEnd w:id="26"/>
    </w:p>
    <w:p w14:paraId="7AA4A58D">
      <w:pPr>
        <w:numPr>
          <w:ilvl w:val="255"/>
          <w:numId w:val="0"/>
        </w:numPr>
        <w:ind w:firstLine="640" w:firstLineChars="200"/>
      </w:pPr>
      <w:r>
        <w:rPr>
          <w:rFonts w:hint="eastAsia"/>
        </w:rPr>
        <w:t>本地部署模式下，GPU高带宽显存承载推理过程中全部输入、输出Token，其承载的Token上限受到动态显存容量约束。冗余Token、超长上下文会抬高显存占用峰值，而显存分配调度效率也会反向影响系统可支撑的Token并发规模。通过精细化治理上下文缓存，削减重复Token带来的稳态显存占用；优化动态显存分配机制，解决显存碎片问题，可提升硬件对Token请求的承载效率。</w:t>
      </w:r>
    </w:p>
    <w:p w14:paraId="6A8B3FB8">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（1）上下文缓存管理</w:t>
      </w:r>
    </w:p>
    <w:p w14:paraId="2E739411">
      <w:pPr>
        <w:ind w:firstLine="643"/>
      </w:pPr>
      <w:r>
        <w:rPr>
          <w:rFonts w:hint="eastAsia"/>
          <w:b/>
          <w:bCs/>
        </w:rPr>
        <w:t>影响机制：</w:t>
      </w:r>
      <w:r>
        <w:rPr>
          <w:rFonts w:hint="eastAsia"/>
        </w:rPr>
        <w:t>工业场景存在大量重复推理基线文本，如标准化提示词、通用手册、规范、固定台账字段等静态上下文Token。模型推理时，KV Cache需要不断读取和写入历史对话的缓存，若无有效的上下文缓存机制，每一次同类型业务推理都会重复加载全套基线文本，持续挤占有限的GPU显存，形成无价值的基线Token开销，导致并发能力急剧下降、响应延迟飙升，最终触发显存溢出</w:t>
      </w:r>
      <w:r>
        <w:rPr>
          <w:rFonts w:hint="eastAsia"/>
          <w:vertAlign w:val="superscript"/>
        </w:rPr>
        <w:t>12</w:t>
      </w:r>
      <w:r>
        <w:rPr>
          <w:rFonts w:hint="eastAsia"/>
        </w:rPr>
        <w:t>致使服务崩溃。</w:t>
      </w:r>
    </w:p>
    <w:p w14:paraId="1C553897">
      <w:pPr>
        <w:numPr>
          <w:ilvl w:val="255"/>
          <w:numId w:val="0"/>
        </w:numPr>
        <w:ind w:firstLine="640" w:firstLineChars="200"/>
      </w:pPr>
      <w:r>
        <w:rPr>
          <w:rFonts w:hint="eastAsia"/>
          <w:b/>
          <w:bCs/>
        </w:rPr>
        <w:t>常见不合理管理行为</w:t>
      </w:r>
      <w:r>
        <w:rPr>
          <w:rFonts w:hint="eastAsia"/>
        </w:rPr>
        <w:t>：①未划分缓存显存配额，所有会话的完整上下文长期常驻显存，大量低活跃度、低频访问的历史会话缓存持续堆积，挤占新推理任务的KV Cache空间，迫使新会话强制截断有效业务Token，或引发显存溢出。②未配置缓存淘汰规则，长期闲置会话上下文持续留存，显存资源被低频低价值Token长期占用，GPU整体Token并发承载能力下降。③多会话重复召回相同知识库片段时，缓存未做统一索引，多份相同Token向量重复存储，缓存冗余叠加上下文原生冗余，双重推高显存Token负载。</w:t>
      </w:r>
    </w:p>
    <w:p w14:paraId="41B1D98D">
      <w:pPr>
        <w:numPr>
          <w:ilvl w:val="255"/>
          <w:numId w:val="0"/>
        </w:numPr>
        <w:jc w:val="center"/>
        <w:rPr>
          <w:rFonts w:hint="default" w:ascii="Times New Roman" w:hAnsi="Times New Roman" w:eastAsia="方正黑体_GBK" w:cs="Times New Roman"/>
          <w:sz w:val="24"/>
          <w:szCs w:val="21"/>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2</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制造业企业本地部署模式下显示缓存核心指标设置建议</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9"/>
        <w:gridCol w:w="1324"/>
        <w:gridCol w:w="4459"/>
      </w:tblGrid>
      <w:tr w14:paraId="28A0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14:paraId="3EF35845">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指标</w:t>
            </w:r>
          </w:p>
        </w:tc>
        <w:tc>
          <w:tcPr>
            <w:tcW w:w="1324" w:type="dxa"/>
            <w:vAlign w:val="center"/>
          </w:tcPr>
          <w:p w14:paraId="0D9E1328">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推荐阈值</w:t>
            </w:r>
          </w:p>
        </w:tc>
        <w:tc>
          <w:tcPr>
            <w:tcW w:w="4459" w:type="dxa"/>
            <w:vAlign w:val="center"/>
          </w:tcPr>
          <w:p w14:paraId="43734B27">
            <w:pPr>
              <w:keepNext w:val="0"/>
              <w:keepLines w:val="0"/>
              <w:pageBreakBefore w:val="0"/>
              <w:widowControl/>
              <w:numPr>
                <w:ilvl w:val="255"/>
                <w:numId w:val="0"/>
              </w:numPr>
              <w:kinsoku/>
              <w:wordWrap/>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b w:val="0"/>
                <w:bCs w:val="0"/>
                <w:sz w:val="22"/>
                <w:szCs w:val="20"/>
              </w:rPr>
            </w:pPr>
            <w:r>
              <w:rPr>
                <w:rFonts w:hint="eastAsia" w:ascii="方正黑体_GBK" w:hAnsi="方正黑体_GBK" w:eastAsia="方正黑体_GBK" w:cs="方正黑体_GBK"/>
                <w:b w:val="0"/>
                <w:bCs w:val="0"/>
                <w:sz w:val="22"/>
                <w:szCs w:val="20"/>
              </w:rPr>
              <w:t>适用场景</w:t>
            </w:r>
          </w:p>
        </w:tc>
      </w:tr>
      <w:tr w14:paraId="7560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14:paraId="7FBEF77E">
            <w:pPr>
              <w:widowControl/>
              <w:numPr>
                <w:ilvl w:val="255"/>
                <w:numId w:val="0"/>
              </w:numPr>
              <w:spacing w:line="340" w:lineRule="exact"/>
              <w:jc w:val="center"/>
              <w:rPr>
                <w:sz w:val="22"/>
                <w:szCs w:val="20"/>
              </w:rPr>
            </w:pPr>
            <w:r>
              <w:rPr>
                <w:sz w:val="22"/>
                <w:szCs w:val="20"/>
              </w:rPr>
              <w:t>显存利用率上限</w:t>
            </w:r>
          </w:p>
        </w:tc>
        <w:tc>
          <w:tcPr>
            <w:tcW w:w="1324" w:type="dxa"/>
            <w:vAlign w:val="center"/>
          </w:tcPr>
          <w:p w14:paraId="75C64E62">
            <w:pPr>
              <w:widowControl/>
              <w:numPr>
                <w:ilvl w:val="255"/>
                <w:numId w:val="0"/>
              </w:numPr>
              <w:spacing w:line="340" w:lineRule="exact"/>
              <w:jc w:val="center"/>
              <w:rPr>
                <w:sz w:val="22"/>
                <w:szCs w:val="20"/>
              </w:rPr>
            </w:pPr>
            <w:r>
              <w:rPr>
                <w:rFonts w:hint="eastAsia"/>
                <w:sz w:val="22"/>
                <w:szCs w:val="20"/>
              </w:rPr>
              <w:t>70</w:t>
            </w:r>
            <w:r>
              <w:rPr>
                <w:sz w:val="22"/>
                <w:szCs w:val="20"/>
              </w:rPr>
              <w:t>%~85%</w:t>
            </w:r>
          </w:p>
        </w:tc>
        <w:tc>
          <w:tcPr>
            <w:tcW w:w="4459" w:type="dxa"/>
            <w:vAlign w:val="center"/>
          </w:tcPr>
          <w:p w14:paraId="2355E6F2">
            <w:pPr>
              <w:widowControl/>
              <w:numPr>
                <w:ilvl w:val="255"/>
                <w:numId w:val="0"/>
              </w:numPr>
              <w:spacing w:line="340" w:lineRule="exact"/>
              <w:jc w:val="center"/>
              <w:rPr>
                <w:sz w:val="22"/>
                <w:szCs w:val="20"/>
              </w:rPr>
            </w:pPr>
            <w:r>
              <w:rPr>
                <w:sz w:val="22"/>
                <w:szCs w:val="20"/>
              </w:rPr>
              <w:t>低于70%</w:t>
            </w:r>
            <w:r>
              <w:rPr>
                <w:rFonts w:hint="eastAsia"/>
                <w:sz w:val="22"/>
                <w:szCs w:val="20"/>
              </w:rPr>
              <w:t>造成</w:t>
            </w:r>
            <w:r>
              <w:rPr>
                <w:sz w:val="22"/>
                <w:szCs w:val="20"/>
              </w:rPr>
              <w:t>资源浪费；超过85%极易触发OOM</w:t>
            </w:r>
          </w:p>
        </w:tc>
      </w:tr>
      <w:tr w14:paraId="3510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14:paraId="0BBA6B89">
            <w:pPr>
              <w:widowControl/>
              <w:numPr>
                <w:ilvl w:val="255"/>
                <w:numId w:val="0"/>
              </w:numPr>
              <w:spacing w:line="400" w:lineRule="exact"/>
              <w:jc w:val="center"/>
              <w:rPr>
                <w:sz w:val="22"/>
                <w:szCs w:val="20"/>
              </w:rPr>
            </w:pPr>
            <w:r>
              <w:rPr>
                <w:sz w:val="22"/>
                <w:szCs w:val="20"/>
              </w:rPr>
              <w:t>P99延迟</w:t>
            </w:r>
            <w:r>
              <w:rPr>
                <w:rFonts w:hint="eastAsia"/>
                <w:sz w:val="22"/>
                <w:szCs w:val="20"/>
                <w:vertAlign w:val="superscript"/>
              </w:rPr>
              <w:t>13</w:t>
            </w:r>
          </w:p>
        </w:tc>
        <w:tc>
          <w:tcPr>
            <w:tcW w:w="1324" w:type="dxa"/>
            <w:vAlign w:val="center"/>
          </w:tcPr>
          <w:p w14:paraId="6851DF4D">
            <w:pPr>
              <w:widowControl/>
              <w:numPr>
                <w:ilvl w:val="255"/>
                <w:numId w:val="0"/>
              </w:numPr>
              <w:spacing w:line="400" w:lineRule="exact"/>
              <w:jc w:val="center"/>
              <w:rPr>
                <w:sz w:val="22"/>
                <w:szCs w:val="20"/>
              </w:rPr>
            </w:pPr>
            <w:r>
              <w:rPr>
                <w:rFonts w:hint="eastAsia"/>
                <w:sz w:val="22"/>
                <w:szCs w:val="20"/>
              </w:rPr>
              <w:t>≤500ms</w:t>
            </w:r>
          </w:p>
        </w:tc>
        <w:tc>
          <w:tcPr>
            <w:tcW w:w="4459" w:type="dxa"/>
            <w:vAlign w:val="center"/>
          </w:tcPr>
          <w:p w14:paraId="6B4DECF5">
            <w:pPr>
              <w:widowControl/>
              <w:numPr>
                <w:ilvl w:val="255"/>
                <w:numId w:val="0"/>
              </w:numPr>
              <w:spacing w:line="400" w:lineRule="exact"/>
              <w:jc w:val="center"/>
              <w:rPr>
                <w:sz w:val="22"/>
                <w:szCs w:val="20"/>
              </w:rPr>
            </w:pPr>
            <w:r>
              <w:rPr>
                <w:sz w:val="22"/>
                <w:szCs w:val="20"/>
              </w:rPr>
              <w:t>超过500ms说明系统有瓶颈，用户体验差</w:t>
            </w:r>
          </w:p>
        </w:tc>
      </w:tr>
      <w:tr w14:paraId="0495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14:paraId="25C5C625">
            <w:pPr>
              <w:widowControl/>
              <w:numPr>
                <w:ilvl w:val="255"/>
                <w:numId w:val="0"/>
              </w:numPr>
              <w:spacing w:line="400" w:lineRule="exact"/>
              <w:jc w:val="center"/>
              <w:rPr>
                <w:sz w:val="22"/>
                <w:szCs w:val="20"/>
              </w:rPr>
            </w:pPr>
            <w:r>
              <w:rPr>
                <w:sz w:val="22"/>
                <w:szCs w:val="20"/>
              </w:rPr>
              <w:t>上下文窗口设置</w:t>
            </w:r>
          </w:p>
        </w:tc>
        <w:tc>
          <w:tcPr>
            <w:tcW w:w="1324" w:type="dxa"/>
            <w:vAlign w:val="center"/>
          </w:tcPr>
          <w:p w14:paraId="4A9CD309">
            <w:pPr>
              <w:widowControl/>
              <w:numPr>
                <w:ilvl w:val="255"/>
                <w:numId w:val="0"/>
              </w:numPr>
              <w:spacing w:line="400" w:lineRule="exact"/>
              <w:jc w:val="center"/>
              <w:rPr>
                <w:sz w:val="22"/>
                <w:szCs w:val="20"/>
              </w:rPr>
            </w:pPr>
            <w:r>
              <w:rPr>
                <w:sz w:val="22"/>
                <w:szCs w:val="20"/>
              </w:rPr>
              <w:t>根据模型参数量调整</w:t>
            </w:r>
          </w:p>
        </w:tc>
        <w:tc>
          <w:tcPr>
            <w:tcW w:w="4459" w:type="dxa"/>
            <w:vAlign w:val="center"/>
          </w:tcPr>
          <w:p w14:paraId="100CFDCD">
            <w:pPr>
              <w:widowControl/>
              <w:numPr>
                <w:ilvl w:val="255"/>
                <w:numId w:val="0"/>
              </w:numPr>
              <w:spacing w:line="400" w:lineRule="exact"/>
              <w:jc w:val="center"/>
              <w:rPr>
                <w:sz w:val="22"/>
                <w:szCs w:val="20"/>
              </w:rPr>
            </w:pPr>
            <w:r>
              <w:rPr>
                <w:sz w:val="22"/>
                <w:szCs w:val="20"/>
              </w:rPr>
              <w:t>与 maxTokens 保持约4:1比例</w:t>
            </w:r>
            <w:r>
              <w:rPr>
                <w:sz w:val="22"/>
                <w:szCs w:val="20"/>
              </w:rPr>
              <w:br w:type="textWrapping"/>
            </w:r>
            <w:r>
              <w:rPr>
                <w:sz w:val="22"/>
                <w:szCs w:val="20"/>
              </w:rPr>
              <w:t>（</w:t>
            </w:r>
            <w:r>
              <w:rPr>
                <w:rFonts w:hint="eastAsia"/>
                <w:sz w:val="22"/>
                <w:szCs w:val="20"/>
              </w:rPr>
              <w:t>如</w:t>
            </w:r>
            <w:r>
              <w:rPr>
                <w:sz w:val="22"/>
                <w:szCs w:val="20"/>
              </w:rPr>
              <w:t>7B模型建议≤131K tokens）</w:t>
            </w:r>
          </w:p>
        </w:tc>
      </w:tr>
      <w:tr w14:paraId="5AAB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9" w:type="dxa"/>
            <w:vAlign w:val="center"/>
          </w:tcPr>
          <w:p w14:paraId="17E6E0CA">
            <w:pPr>
              <w:widowControl/>
              <w:numPr>
                <w:ilvl w:val="255"/>
                <w:numId w:val="0"/>
              </w:numPr>
              <w:spacing w:line="400" w:lineRule="exact"/>
              <w:jc w:val="center"/>
              <w:rPr>
                <w:sz w:val="22"/>
                <w:szCs w:val="20"/>
              </w:rPr>
            </w:pPr>
            <w:r>
              <w:rPr>
                <w:rFonts w:hint="eastAsia"/>
                <w:sz w:val="22"/>
                <w:szCs w:val="20"/>
              </w:rPr>
              <w:t>上下文截断率</w:t>
            </w:r>
          </w:p>
        </w:tc>
        <w:tc>
          <w:tcPr>
            <w:tcW w:w="1324" w:type="dxa"/>
            <w:vAlign w:val="center"/>
          </w:tcPr>
          <w:p w14:paraId="38BD3DF1">
            <w:pPr>
              <w:widowControl/>
              <w:numPr>
                <w:ilvl w:val="255"/>
                <w:numId w:val="0"/>
              </w:numPr>
              <w:spacing w:line="400" w:lineRule="exact"/>
              <w:jc w:val="center"/>
              <w:rPr>
                <w:sz w:val="22"/>
                <w:szCs w:val="20"/>
              </w:rPr>
            </w:pPr>
            <w:r>
              <w:rPr>
                <w:sz w:val="22"/>
                <w:szCs w:val="20"/>
              </w:rPr>
              <w:t>≤5%</w:t>
            </w:r>
          </w:p>
        </w:tc>
        <w:tc>
          <w:tcPr>
            <w:tcW w:w="4459" w:type="dxa"/>
            <w:vAlign w:val="center"/>
          </w:tcPr>
          <w:p w14:paraId="3E2C7325">
            <w:pPr>
              <w:widowControl/>
              <w:numPr>
                <w:ilvl w:val="255"/>
                <w:numId w:val="0"/>
              </w:numPr>
              <w:spacing w:line="400" w:lineRule="exact"/>
              <w:jc w:val="center"/>
              <w:rPr>
                <w:sz w:val="22"/>
                <w:szCs w:val="20"/>
              </w:rPr>
            </w:pPr>
            <w:r>
              <w:rPr>
                <w:sz w:val="22"/>
                <w:szCs w:val="20"/>
              </w:rPr>
              <w:t>超过5%说明窗口设太小，信息被丢弃太多</w:t>
            </w:r>
          </w:p>
        </w:tc>
      </w:tr>
    </w:tbl>
    <w:p w14:paraId="002B857B">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（2）动态显存管理</w:t>
      </w:r>
    </w:p>
    <w:p w14:paraId="1ECAA178">
      <w:pPr>
        <w:numPr>
          <w:ilvl w:val="255"/>
          <w:numId w:val="0"/>
        </w:numPr>
        <w:ind w:firstLine="640" w:firstLineChars="200"/>
        <w:rPr>
          <w:rFonts w:cs="Times New Roman"/>
          <w:szCs w:val="32"/>
        </w:rPr>
      </w:pPr>
      <w:r>
        <w:rPr>
          <w:rFonts w:hint="eastAsia" w:cs="Times New Roman"/>
          <w:b/>
          <w:bCs/>
          <w:szCs w:val="32"/>
        </w:rPr>
        <w:t>影响机制：</w:t>
      </w:r>
      <w:r>
        <w:rPr>
          <w:rFonts w:hint="eastAsia" w:cs="Times New Roman"/>
          <w:szCs w:val="32"/>
        </w:rPr>
        <w:t>由于不同业务请求的上下文长度差异巨大，频繁的显存申请与释放极易导致显存碎片化</w:t>
      </w:r>
      <w:r>
        <w:rPr>
          <w:rFonts w:hint="eastAsia" w:cs="Times New Roman"/>
          <w:szCs w:val="32"/>
          <w:vertAlign w:val="superscript"/>
        </w:rPr>
        <w:t>14</w:t>
      </w:r>
      <w:r>
        <w:rPr>
          <w:rFonts w:hint="eastAsia" w:cs="Times New Roman"/>
          <w:szCs w:val="32"/>
        </w:rPr>
        <w:t>，即存在较多总空闲显存，但找不到连续的显存块来分配，导致系统无法有效支撑新的Token请求。通过引入动态显存分配机制，允许不同长度的Token请求在同一批次中并行处理，才能有效消除显存碎片，确保显存始终处于高位运转，最大化保障系统对并发Token请求的承载能力。</w:t>
      </w:r>
    </w:p>
    <w:p w14:paraId="56F9A438">
      <w:pPr>
        <w:numPr>
          <w:ilvl w:val="255"/>
          <w:numId w:val="0"/>
        </w:numPr>
        <w:ind w:firstLine="640" w:firstLineChars="200"/>
        <w:rPr>
          <w:rFonts w:cs="Times New Roman"/>
          <w:szCs w:val="32"/>
        </w:rPr>
      </w:pPr>
      <w:r>
        <w:rPr>
          <w:rFonts w:hint="eastAsia" w:cs="Times New Roman"/>
          <w:b/>
          <w:bCs/>
          <w:szCs w:val="32"/>
        </w:rPr>
        <w:t>常见不合理管理行为：</w:t>
      </w:r>
      <w:r>
        <w:rPr>
          <w:rFonts w:hint="eastAsia" w:cs="Times New Roman"/>
          <w:szCs w:val="32"/>
        </w:rPr>
        <w:t>①采用传统的静态预分配模式，内存池设置过大导致显存资源浪费，或者设置过小无法根据实际请求动态调整。②依赖框架默认的显存管理机制，不进行碎片整理。</w:t>
      </w:r>
    </w:p>
    <w:p w14:paraId="589B88C9">
      <w:pPr>
        <w:pStyle w:val="4"/>
        <w:ind w:firstLine="643"/>
      </w:pPr>
      <w:bookmarkStart w:id="27" w:name="_Toc26943"/>
      <w:bookmarkStart w:id="28" w:name="_Toc15809"/>
      <w:bookmarkStart w:id="29" w:name="_Toc23819"/>
      <w:r>
        <w:rPr>
          <w:rFonts w:hint="eastAsia"/>
        </w:rPr>
        <w:t>2.对计算资源的管理</w:t>
      </w:r>
      <w:bookmarkEnd w:id="27"/>
      <w:bookmarkEnd w:id="28"/>
    </w:p>
    <w:p w14:paraId="33108ABF">
      <w:pPr>
        <w:numPr>
          <w:ilvl w:val="255"/>
          <w:numId w:val="0"/>
        </w:numPr>
        <w:ind w:firstLine="640"/>
      </w:pPr>
      <w:r>
        <w:rPr>
          <w:rFonts w:hint="eastAsia"/>
        </w:rPr>
        <w:t>本地部署模式下，Token是模型算力资源消耗的量化逻辑表征，能精准反映不同业务场景的资源需求特征，是算力调度与资源分配的核心依据。反之，本地服务器的GPU计算能力与调度机制构成模型推理的物理支撑，直接约束系统可承载的Token规模上限。因此，企业需在掌握业务模型Token需求的前提下，通过一系列GPU管理手段，确保Token的瞬时吞吐量始终在GPU算力的安全范围内，避免算力过载，实现算力资源的高效利用与业务的快速稳定响应。</w:t>
      </w:r>
    </w:p>
    <w:p w14:paraId="10035748">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（1）模型选型管理</w:t>
      </w:r>
    </w:p>
    <w:p w14:paraId="6D43D139">
      <w:pPr>
        <w:ind w:firstLine="643"/>
      </w:pPr>
      <w:r>
        <w:rPr>
          <w:rFonts w:hint="eastAsia"/>
          <w:b/>
          <w:bCs/>
        </w:rPr>
        <w:t>影响机制：</w:t>
      </w:r>
      <w:r>
        <w:rPr>
          <w:rFonts w:hint="eastAsia"/>
        </w:rPr>
        <w:t>模型参数量、精度格式、上下文窗口原生上限，是单枚Token计算开销的底层基准。大参数、FP16/FP32等高精度模型处理同等长度Token时，会占用更多计算单元，推理时延显著拉长。若盲目选用超大模型承载轻量Token查询业务，或采用通用模型进行泛化推理、微调的模式，会造成计算算力长期闲置浪费；反之，小模型承载超长Token请求，则会出现算力不足、推理排队拥堵。因此，根据业务真实Token吞吐量需求匹配合适的模型是保障推理效率的核心前提。</w:t>
      </w:r>
    </w:p>
    <w:p w14:paraId="3866AAF1">
      <w:pPr>
        <w:ind w:firstLine="643"/>
      </w:pPr>
      <w:r>
        <w:rPr>
          <w:rFonts w:hint="eastAsia"/>
          <w:b/>
          <w:bCs/>
        </w:rPr>
        <w:t>常见不合理管理行为</w:t>
      </w:r>
      <w:r>
        <w:rPr>
          <w:rFonts w:hint="eastAsia"/>
        </w:rPr>
        <w:t>：①企业未按照业务Token特征匹配模型规格，如生产刚性短交互Token业务选用推理大模型；长上下文多Token业务匹配轻量级模型。②企业未对非高精度推理业务进行精度压缩，单Token计算算力消耗大，同等硬件下Token并发量受限。</w:t>
      </w:r>
    </w:p>
    <w:p w14:paraId="3E55236C">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（2）算力配额管理</w:t>
      </w:r>
    </w:p>
    <w:p w14:paraId="7F937D38">
      <w:pPr>
        <w:ind w:firstLine="643"/>
      </w:pPr>
      <w:r>
        <w:rPr>
          <w:rFonts w:hint="eastAsia"/>
          <w:b/>
          <w:bCs/>
        </w:rPr>
        <w:t>影响机制</w:t>
      </w:r>
      <w:r>
        <w:rPr>
          <w:rFonts w:hint="eastAsia"/>
        </w:rPr>
        <w:t>：不同业务线Token负载特征差异显著，无配额约束时，批量长Token任务会持续占用绝大多数计算资源，挤压实时生产业务所需的计算资源，出现高优先级业务算力供给不足。一方面，通过静态分层配额，从硬件层面划分各业务算力占用上限，刚性隔离不同业务Token计算负载冲突，可保障生产业务稳定运行。另一方面，在配额体系设计阶段预留标准化外部配额对接接口，可有效弥补自有服务器本地静态配额资源总量受限、峰值弹性不足的短板；同时统一内外算力、Token资源管控标准，实现消耗台账隔离审计，可全面提升企业Token资源管控的规范性与长期可拓展性。</w:t>
      </w:r>
    </w:p>
    <w:p w14:paraId="3C85EBAA">
      <w:pPr>
        <w:ind w:firstLine="643"/>
      </w:pPr>
      <w:r>
        <w:rPr>
          <w:rFonts w:hint="eastAsia"/>
          <w:b/>
          <w:bCs/>
        </w:rPr>
        <w:t>常见不合理管理行为</w:t>
      </w:r>
      <w:r>
        <w:rPr>
          <w:rFonts w:hint="eastAsia"/>
        </w:rPr>
        <w:t>：①企业无法科学评估不同任务请求的模型应用需求，不能为不同业务线设置科学合理的算力配额。②企业算力配额设置不合理，导致本地有限算力被低价值请求大量占用，限制核心业务的响应速度。</w:t>
      </w:r>
    </w:p>
    <w:p w14:paraId="60131C39">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（3）算力调度管理</w:t>
      </w:r>
    </w:p>
    <w:p w14:paraId="63D16C20">
      <w:pPr>
        <w:ind w:firstLine="643"/>
      </w:pPr>
      <w:r>
        <w:rPr>
          <w:rFonts w:hint="eastAsia"/>
          <w:b/>
          <w:bCs/>
        </w:rPr>
        <w:t>影响机制</w:t>
      </w:r>
      <w:r>
        <w:rPr>
          <w:rFonts w:hint="eastAsia"/>
        </w:rPr>
        <w:t>：企业的业务请求具有明显的峰谷特征，也具有不同的服务等级协议。</w:t>
      </w:r>
      <w:r>
        <w:rPr>
          <w:rFonts w:hint="eastAsia" w:cs="Times New Roman"/>
          <w:szCs w:val="32"/>
        </w:rPr>
        <w:t>在</w:t>
      </w:r>
      <w:r>
        <w:rPr>
          <w:rFonts w:hint="eastAsia"/>
        </w:rPr>
        <w:t>本地业务算力配额已设定的情况下，系统能够实时监测资源负载，并在业务高峰期进行动态调配，保障核心业务请求获得优先响应，避免因算力过载导致的请求排队与超时，保障推理服务的稳定高效</w:t>
      </w:r>
      <w:r>
        <w:rPr>
          <w:rFonts w:hint="eastAsia" w:cs="Times New Roman"/>
          <w:szCs w:val="32"/>
        </w:rPr>
        <w:t>，是提升本地硬件的整体Token产出效率和资源利用率的重要因素</w:t>
      </w:r>
      <w:r>
        <w:rPr>
          <w:rFonts w:hint="eastAsia"/>
        </w:rPr>
        <w:t>。</w:t>
      </w:r>
    </w:p>
    <w:p w14:paraId="1FAB7847">
      <w:pPr>
        <w:numPr>
          <w:ilvl w:val="255"/>
          <w:numId w:val="0"/>
        </w:numPr>
        <w:ind w:firstLine="640" w:firstLineChars="200"/>
      </w:pPr>
      <w:r>
        <w:rPr>
          <w:rFonts w:hint="eastAsia"/>
          <w:b/>
          <w:bCs/>
        </w:rPr>
        <w:t>常见不合理管理行为</w:t>
      </w:r>
      <w:r>
        <w:rPr>
          <w:rFonts w:hint="eastAsia"/>
        </w:rPr>
        <w:t>：①企业未构建优先级排队、动态配额管控机制，在业务高峰期时，核心业务请求不能得到优先响应。②企业系统采用静态分配，导致GPU在等待下一个请求时大量闲置，算力利用率极低。</w:t>
      </w:r>
    </w:p>
    <w:p w14:paraId="23D1E028">
      <w:pPr>
        <w:pStyle w:val="4"/>
        <w:ind w:firstLine="643"/>
      </w:pPr>
      <w:bookmarkStart w:id="30" w:name="_Toc1186"/>
      <w:bookmarkStart w:id="31" w:name="_Toc9436"/>
      <w:r>
        <w:rPr>
          <w:rFonts w:hint="eastAsia"/>
        </w:rPr>
        <w:t>3.对利用效能的管理</w:t>
      </w:r>
      <w:bookmarkEnd w:id="29"/>
      <w:bookmarkEnd w:id="30"/>
      <w:bookmarkEnd w:id="31"/>
    </w:p>
    <w:p w14:paraId="5A061DE2">
      <w:pPr>
        <w:numPr>
          <w:ilvl w:val="255"/>
          <w:numId w:val="0"/>
        </w:numPr>
        <w:ind w:firstLine="640"/>
      </w:pPr>
      <w:r>
        <w:rPr>
          <w:rFonts w:hint="eastAsia"/>
        </w:rPr>
        <w:t>本地部署无云端按量计费约束，若不统计单位有效业务对应的Token消耗量，仅关注显存、算力能否承载请求，将导致硬件长期低负载空转，造成算力资源浪费。</w:t>
      </w:r>
    </w:p>
    <w:p w14:paraId="69FB342A">
      <w:pPr>
        <w:pStyle w:val="5"/>
        <w:ind w:firstLine="643"/>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（1）全链路监控管理</w:t>
      </w:r>
    </w:p>
    <w:p w14:paraId="04A3D18A">
      <w:pPr>
        <w:ind w:firstLine="643"/>
        <w:rPr>
          <w:rFonts w:cs="Times New Roman"/>
          <w:szCs w:val="32"/>
        </w:rPr>
      </w:pPr>
      <w:r>
        <w:rPr>
          <w:rFonts w:hint="eastAsia" w:cs="Times New Roman"/>
          <w:b/>
          <w:bCs/>
          <w:szCs w:val="32"/>
        </w:rPr>
        <w:t>影响机制：</w:t>
      </w:r>
      <w:r>
        <w:rPr>
          <w:rFonts w:hint="eastAsia" w:cs="Times New Roman"/>
          <w:szCs w:val="32"/>
        </w:rPr>
        <w:t>Token产出效率的波动往往由底层隐蔽的性能瓶颈引起，通过建立涵盖Token生成速率、首字延迟、缓存命中率及无效Token占比的全链路监控体系，企业能够将抽象的算力消耗转化为具象的性能指标。同时，配合科学的异常告警阈值，能够帮助运维团队从海量日志中快速剥离干扰项，精准定位导致Token产出效率下降的原因，从而大幅缩短故障排查时间，避免算力在低效状态下长期空耗。</w:t>
      </w:r>
    </w:p>
    <w:p w14:paraId="37360BA2">
      <w:pPr>
        <w:ind w:firstLine="643"/>
        <w:rPr>
          <w:b/>
          <w:bCs/>
        </w:rPr>
      </w:pPr>
      <w:r>
        <w:rPr>
          <w:rFonts w:hint="eastAsia" w:cs="Times New Roman"/>
          <w:b/>
          <w:bCs/>
          <w:szCs w:val="32"/>
        </w:rPr>
        <w:t>常见不合理管理行为：</w:t>
      </w:r>
      <w:r>
        <w:rPr>
          <w:rFonts w:hint="eastAsia" w:cs="Times New Roman"/>
          <w:szCs w:val="32"/>
        </w:rPr>
        <w:t>企业仅停留在传统的API网关层监控，缺乏对模型推理内部状态的深度可观测性，当Token产出效率下降时，运维人员难以快速区分是网络问题、模型推理瓶颈还是上下文过长导致的显存溢出，故障排查耗时长，导致算力空耗。</w:t>
      </w:r>
    </w:p>
    <w:p w14:paraId="60B84598">
      <w:pPr>
        <w:pStyle w:val="5"/>
        <w:ind w:firstLine="643"/>
        <w:rPr>
          <w:rFonts w:ascii="Times New Roman" w:hAnsi="Times New Roman" w:eastAsia="方正仿宋_GBK" w:cs="Times New Roman"/>
          <w:color w:val="auto"/>
          <w:sz w:val="32"/>
          <w:szCs w:val="32"/>
        </w:rPr>
      </w:pPr>
      <w:bookmarkStart w:id="32" w:name="_Toc20622"/>
      <w:r>
        <w:rPr>
          <w:rFonts w:hint="eastAsia" w:ascii="Times New Roman" w:hAnsi="Times New Roman" w:eastAsia="方正仿宋_GBK" w:cs="Times New Roman"/>
          <w:b/>
          <w:bCs/>
          <w:color w:val="auto"/>
          <w:sz w:val="32"/>
          <w:szCs w:val="32"/>
        </w:rPr>
        <w:t>（2）算力利用率管理</w:t>
      </w:r>
    </w:p>
    <w:p w14:paraId="02A808F0">
      <w:pPr>
        <w:ind w:firstLine="643"/>
      </w:pPr>
      <w:r>
        <w:rPr>
          <w:rFonts w:hint="eastAsia"/>
          <w:b/>
          <w:bCs/>
        </w:rPr>
        <w:t>影响机制</w:t>
      </w:r>
      <w:r>
        <w:rPr>
          <w:rFonts w:hint="eastAsia"/>
        </w:rPr>
        <w:t>：本地部署模式下，最大效用地发挥固定算力资源价值，需要</w:t>
      </w:r>
      <w:r>
        <w:t>采集模型推理全链路Token消耗、GPU硬件运行基础数据，建立Token</w:t>
      </w:r>
      <w:r>
        <w:rPr>
          <w:rFonts w:hint="eastAsia"/>
        </w:rPr>
        <w:t>与</w:t>
      </w:r>
      <w:r>
        <w:t>算力标准化量化映射关系</w:t>
      </w:r>
      <w:r>
        <w:rPr>
          <w:rFonts w:hint="eastAsia"/>
        </w:rPr>
        <w:t>，计算算力利用率，</w:t>
      </w:r>
      <w:r>
        <w:t>生成可视化资源消耗账单。</w:t>
      </w:r>
      <w:r>
        <w:rPr>
          <w:rFonts w:hint="eastAsia"/>
        </w:rPr>
        <w:t>并需</w:t>
      </w:r>
      <w:r>
        <w:t>依托算力利用率指标反向校验显存调度、算力分配策略的落地效果，推动Token管理模式从粗放式资源占用管控，转向以业务价值为导向的精细化资源运营。</w:t>
      </w:r>
    </w:p>
    <w:p w14:paraId="1E352F60">
      <w:pPr>
        <w:ind w:firstLine="643" w:firstLineChars="0"/>
      </w:pPr>
      <w:r>
        <w:rPr>
          <w:rFonts w:hint="eastAsia"/>
          <w:b/>
          <w:bCs/>
        </w:rPr>
        <w:t>常见不合理管理行为</w:t>
      </w:r>
      <w:r>
        <w:rPr>
          <w:rFonts w:hint="eastAsia"/>
        </w:rPr>
        <w:t>：未进行算力利用率监控，或缺少Token与算力指标的绑定监控，企业无法区分无效Token带来的算力空转、长短请求混批造成的算力碎片浪费，长期出现硬件资源闲置、生产业务算力供给不足的矛盾。</w:t>
      </w:r>
    </w:p>
    <w:p w14:paraId="4F5B6765">
      <w:pPr>
        <w:pStyle w:val="2"/>
        <w:ind w:firstLine="640"/>
      </w:pPr>
      <w:bookmarkStart w:id="33" w:name="_Toc5036"/>
      <w:bookmarkStart w:id="34" w:name="_Toc4856"/>
      <w:r>
        <w:rPr>
          <w:rFonts w:hint="eastAsia"/>
        </w:rPr>
        <w:t>二、企业Token管理的</w:t>
      </w:r>
      <w:bookmarkEnd w:id="32"/>
      <w:r>
        <w:rPr>
          <w:rFonts w:hint="eastAsia"/>
        </w:rPr>
        <w:t>重点环节</w:t>
      </w:r>
      <w:bookmarkEnd w:id="33"/>
      <w:bookmarkEnd w:id="34"/>
    </w:p>
    <w:p w14:paraId="121745EF">
      <w:pPr>
        <w:ind w:firstLine="640"/>
        <w:rPr>
          <w:rFonts w:cs="Times New Roman"/>
          <w:szCs w:val="32"/>
        </w:rPr>
      </w:pPr>
      <w:r>
        <w:rPr>
          <w:rFonts w:hint="eastAsia" w:cs="Times New Roman"/>
          <w:szCs w:val="32"/>
        </w:rPr>
        <w:t>公有云API部署和本地部署两种模式</w:t>
      </w:r>
      <w:r>
        <w:rPr>
          <w:rFonts w:cs="Times New Roman"/>
          <w:szCs w:val="32"/>
        </w:rPr>
        <w:t>下Token管控的核心痛点、约束条件各有侧重，但存在统一的基础管控逻辑。</w:t>
      </w:r>
      <w:r>
        <w:rPr>
          <w:rFonts w:hint="eastAsia" w:cs="Times New Roman"/>
          <w:szCs w:val="32"/>
        </w:rPr>
        <w:t>本指引从</w:t>
      </w:r>
      <w:r>
        <w:rPr>
          <w:rFonts w:hint="eastAsia" w:ascii="方正仿宋_GBK" w:hAnsi="方正仿宋_GBK" w:cs="方正仿宋_GBK"/>
          <w:b/>
          <w:szCs w:val="32"/>
        </w:rPr>
        <w:t>事前规划预置、事中运行监控、事后复盘优化</w:t>
      </w:r>
      <w:r>
        <w:rPr>
          <w:rFonts w:hint="eastAsia" w:ascii="方正仿宋_GBK" w:hAnsi="方正仿宋_GBK" w:cs="方正仿宋_GBK"/>
          <w:bCs/>
          <w:szCs w:val="32"/>
        </w:rPr>
        <w:t>全流程环节</w:t>
      </w:r>
      <w:r>
        <w:rPr>
          <w:rFonts w:cs="Times New Roman"/>
          <w:szCs w:val="32"/>
        </w:rPr>
        <w:t>，</w:t>
      </w:r>
      <w:r>
        <w:rPr>
          <w:rFonts w:hint="eastAsia" w:cs="Times New Roman"/>
          <w:szCs w:val="32"/>
        </w:rPr>
        <w:t>介绍在不同环节下，</w:t>
      </w:r>
      <w:r>
        <w:rPr>
          <w:rFonts w:cs="Times New Roman"/>
          <w:szCs w:val="32"/>
        </w:rPr>
        <w:t>企业公有云</w:t>
      </w:r>
      <w:r>
        <w:rPr>
          <w:rFonts w:hint="eastAsia" w:cs="Times New Roman"/>
          <w:szCs w:val="32"/>
        </w:rPr>
        <w:t>部署模式和</w:t>
      </w:r>
      <w:r>
        <w:rPr>
          <w:rFonts w:cs="Times New Roman"/>
          <w:szCs w:val="32"/>
        </w:rPr>
        <w:t>本地部署</w:t>
      </w:r>
      <w:r>
        <w:rPr>
          <w:rFonts w:hint="eastAsia" w:cs="Times New Roman"/>
          <w:szCs w:val="32"/>
        </w:rPr>
        <w:t>模式下</w:t>
      </w:r>
      <w:r>
        <w:rPr>
          <w:rFonts w:cs="Times New Roman"/>
          <w:szCs w:val="32"/>
        </w:rPr>
        <w:t>Token管理</w:t>
      </w:r>
      <w:r>
        <w:rPr>
          <w:rFonts w:hint="eastAsia" w:cs="Times New Roman"/>
          <w:szCs w:val="32"/>
        </w:rPr>
        <w:t>做法</w:t>
      </w:r>
      <w:r>
        <w:rPr>
          <w:rFonts w:cs="Times New Roman"/>
          <w:szCs w:val="32"/>
        </w:rPr>
        <w:t>。</w:t>
      </w:r>
      <w:r>
        <w:rPr>
          <w:rFonts w:hint="eastAsia" w:cs="Times New Roman"/>
          <w:szCs w:val="32"/>
        </w:rPr>
        <w:t>不同部署模式下涉及的管理环节侧重见下表。</w:t>
      </w:r>
    </w:p>
    <w:p w14:paraId="05090AB3">
      <w:pPr>
        <w:ind w:firstLine="0" w:firstLineChars="0"/>
        <w:jc w:val="center"/>
        <w:rPr>
          <w:rFonts w:hint="default" w:ascii="Times New Roman" w:hAnsi="Times New Roman" w:eastAsia="方正黑体_GBK" w:cs="Times New Roman"/>
          <w:sz w:val="24"/>
          <w:szCs w:val="21"/>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3</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不同部署模式下涉及的Token管理环节侧重</w:t>
      </w:r>
    </w:p>
    <w:tbl>
      <w:tblPr>
        <w:tblStyle w:val="26"/>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2491"/>
        <w:gridCol w:w="2281"/>
        <w:gridCol w:w="2276"/>
      </w:tblGrid>
      <w:tr w14:paraId="34B3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64ED899D">
            <w:pPr>
              <w:widowControl/>
              <w:spacing w:line="240" w:lineRule="exact"/>
              <w:ind w:firstLine="0" w:firstLineChars="0"/>
              <w:jc w:val="center"/>
              <w:rPr>
                <w:rFonts w:hint="eastAsia" w:ascii="方正黑体_GBK" w:hAnsi="方正黑体_GBK" w:eastAsia="方正黑体_GBK" w:cs="方正黑体_GBK"/>
                <w:b w:val="0"/>
                <w:bCs w:val="0"/>
                <w:sz w:val="24"/>
              </w:rPr>
            </w:pPr>
            <w:r>
              <w:rPr>
                <w:rFonts w:hint="eastAsia" w:ascii="方正黑体_GBK" w:hAnsi="方正黑体_GBK" w:eastAsia="方正黑体_GBK" w:cs="方正黑体_GBK"/>
                <w:b w:val="0"/>
                <w:bCs w:val="0"/>
                <w:sz w:val="24"/>
              </w:rPr>
              <w:t>流程</w:t>
            </w:r>
          </w:p>
        </w:tc>
        <w:tc>
          <w:tcPr>
            <w:tcW w:w="2491" w:type="dxa"/>
            <w:vAlign w:val="center"/>
          </w:tcPr>
          <w:p w14:paraId="7CC03A3D">
            <w:pPr>
              <w:widowControl/>
              <w:spacing w:line="240" w:lineRule="exact"/>
              <w:ind w:firstLine="0" w:firstLineChars="0"/>
              <w:jc w:val="center"/>
              <w:rPr>
                <w:rFonts w:hint="eastAsia" w:ascii="方正黑体_GBK" w:hAnsi="方正黑体_GBK" w:eastAsia="方正黑体_GBK" w:cs="方正黑体_GBK"/>
                <w:b w:val="0"/>
                <w:bCs w:val="0"/>
                <w:sz w:val="24"/>
              </w:rPr>
            </w:pPr>
            <w:r>
              <w:rPr>
                <w:rFonts w:hint="eastAsia" w:ascii="方正黑体_GBK" w:hAnsi="方正黑体_GBK" w:eastAsia="方正黑体_GBK" w:cs="方正黑体_GBK"/>
                <w:b w:val="0"/>
                <w:bCs w:val="0"/>
                <w:sz w:val="24"/>
              </w:rPr>
              <w:t>重点环节</w:t>
            </w:r>
          </w:p>
        </w:tc>
        <w:tc>
          <w:tcPr>
            <w:tcW w:w="2281" w:type="dxa"/>
            <w:vAlign w:val="center"/>
          </w:tcPr>
          <w:p w14:paraId="24A10C8E">
            <w:pPr>
              <w:widowControl/>
              <w:spacing w:line="240" w:lineRule="exact"/>
              <w:ind w:firstLine="0" w:firstLineChars="0"/>
              <w:jc w:val="center"/>
              <w:rPr>
                <w:rFonts w:hint="eastAsia" w:ascii="方正黑体_GBK" w:hAnsi="方正黑体_GBK" w:eastAsia="方正黑体_GBK" w:cs="方正黑体_GBK"/>
                <w:b w:val="0"/>
                <w:bCs w:val="0"/>
                <w:sz w:val="24"/>
                <w:highlight w:val="yellow"/>
              </w:rPr>
            </w:pPr>
            <w:r>
              <w:rPr>
                <w:rFonts w:hint="eastAsia" w:ascii="方正黑体_GBK" w:hAnsi="方正黑体_GBK" w:eastAsia="方正黑体_GBK" w:cs="方正黑体_GBK"/>
                <w:b w:val="0"/>
                <w:bCs w:val="0"/>
                <w:sz w:val="24"/>
              </w:rPr>
              <w:t>公有云部署模式</w:t>
            </w:r>
          </w:p>
        </w:tc>
        <w:tc>
          <w:tcPr>
            <w:tcW w:w="2276" w:type="dxa"/>
            <w:vAlign w:val="center"/>
          </w:tcPr>
          <w:p w14:paraId="1C5AFA2B">
            <w:pPr>
              <w:widowControl/>
              <w:spacing w:line="240" w:lineRule="exact"/>
              <w:ind w:firstLine="0" w:firstLineChars="0"/>
              <w:jc w:val="center"/>
              <w:rPr>
                <w:rFonts w:hint="eastAsia" w:ascii="方正黑体_GBK" w:hAnsi="方正黑体_GBK" w:eastAsia="方正黑体_GBK" w:cs="方正黑体_GBK"/>
                <w:b w:val="0"/>
                <w:bCs w:val="0"/>
                <w:sz w:val="24"/>
              </w:rPr>
            </w:pPr>
            <w:r>
              <w:rPr>
                <w:rFonts w:hint="eastAsia" w:ascii="方正黑体_GBK" w:hAnsi="方正黑体_GBK" w:eastAsia="方正黑体_GBK" w:cs="方正黑体_GBK"/>
                <w:b w:val="0"/>
                <w:bCs w:val="0"/>
                <w:sz w:val="24"/>
              </w:rPr>
              <w:t>本地部署模式</w:t>
            </w:r>
          </w:p>
        </w:tc>
      </w:tr>
      <w:tr w14:paraId="56D9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0" w:type="auto"/>
            <w:vMerge w:val="restart"/>
            <w:vAlign w:val="center"/>
          </w:tcPr>
          <w:p w14:paraId="02F77215">
            <w:pPr>
              <w:widowControl/>
              <w:spacing w:line="340" w:lineRule="exact"/>
              <w:ind w:firstLine="0" w:firstLineChars="0"/>
              <w:rPr>
                <w:rFonts w:hint="eastAsia" w:ascii="方正仿宋_GBK" w:hAnsi="方正仿宋_GBK" w:cs="方正仿宋_GBK"/>
                <w:sz w:val="24"/>
              </w:rPr>
            </w:pPr>
            <w:r>
              <w:rPr>
                <w:rFonts w:hint="eastAsia" w:ascii="方正仿宋_GBK" w:hAnsi="方正仿宋_GBK" w:cs="方正仿宋_GBK"/>
                <w:sz w:val="24"/>
              </w:rPr>
              <w:t>事前规划预置</w:t>
            </w:r>
          </w:p>
        </w:tc>
        <w:tc>
          <w:tcPr>
            <w:tcW w:w="2491" w:type="dxa"/>
            <w:vAlign w:val="center"/>
          </w:tcPr>
          <w:p w14:paraId="43ED9D54">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场景分级与立项评估</w:t>
            </w:r>
          </w:p>
        </w:tc>
        <w:tc>
          <w:tcPr>
            <w:tcW w:w="4557" w:type="dxa"/>
            <w:gridSpan w:val="2"/>
            <w:vAlign w:val="center"/>
          </w:tcPr>
          <w:p w14:paraId="474BAD94">
            <w:pPr>
              <w:widowControl/>
              <w:spacing w:line="340" w:lineRule="exact"/>
              <w:ind w:firstLine="0" w:firstLineChars="0"/>
              <w:jc w:val="center"/>
              <w:rPr>
                <w:rFonts w:ascii="Arial" w:hAnsi="Arial" w:cs="Arial"/>
                <w:sz w:val="24"/>
              </w:rPr>
            </w:pPr>
            <w:r>
              <w:rPr>
                <w:rFonts w:hint="eastAsia" w:ascii="Arial" w:hAnsi="Arial" w:cs="Arial"/>
                <w:sz w:val="24"/>
              </w:rPr>
              <w:t>聚焦场景分级分类</w:t>
            </w:r>
          </w:p>
        </w:tc>
      </w:tr>
      <w:tr w14:paraId="43F6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Merge w:val="continue"/>
            <w:vAlign w:val="center"/>
          </w:tcPr>
          <w:p w14:paraId="616D7E50">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14:paraId="6CB9D9CC">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模型选型与部署</w:t>
            </w:r>
          </w:p>
        </w:tc>
        <w:tc>
          <w:tcPr>
            <w:tcW w:w="2281" w:type="dxa"/>
            <w:vAlign w:val="center"/>
          </w:tcPr>
          <w:p w14:paraId="6FBB34FF">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聚焦</w:t>
            </w:r>
            <w:r>
              <w:rPr>
                <w:rFonts w:ascii="方正仿宋_GBK" w:hAnsi="方正仿宋_GBK" w:cs="方正仿宋_GBK"/>
                <w:sz w:val="24"/>
              </w:rPr>
              <w:t>非敏感业务</w:t>
            </w:r>
          </w:p>
        </w:tc>
        <w:tc>
          <w:tcPr>
            <w:tcW w:w="2276" w:type="dxa"/>
            <w:vAlign w:val="center"/>
          </w:tcPr>
          <w:p w14:paraId="7C5925C4">
            <w:pPr>
              <w:widowControl/>
              <w:spacing w:line="340" w:lineRule="exact"/>
              <w:ind w:firstLine="0" w:firstLineChars="0"/>
              <w:jc w:val="center"/>
              <w:rPr>
                <w:rFonts w:ascii="Arial" w:hAnsi="Arial" w:cs="Arial"/>
                <w:sz w:val="24"/>
              </w:rPr>
            </w:pPr>
            <w:r>
              <w:rPr>
                <w:rFonts w:hint="eastAsia" w:ascii="Arial" w:hAnsi="Arial" w:cs="Arial"/>
                <w:sz w:val="24"/>
              </w:rPr>
              <w:t>聚焦模型与</w:t>
            </w:r>
            <w:r>
              <w:rPr>
                <w:rFonts w:ascii="Arial" w:hAnsi="Arial" w:cs="Arial"/>
                <w:sz w:val="24"/>
              </w:rPr>
              <w:t>场景匹配</w:t>
            </w:r>
          </w:p>
        </w:tc>
      </w:tr>
      <w:tr w14:paraId="2D20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0" w:type="auto"/>
            <w:vMerge w:val="continue"/>
            <w:vAlign w:val="center"/>
          </w:tcPr>
          <w:p w14:paraId="1AF8DC01">
            <w:pPr>
              <w:widowControl/>
              <w:spacing w:line="340" w:lineRule="exact"/>
              <w:ind w:firstLine="0" w:firstLineChars="0"/>
              <w:jc w:val="center"/>
              <w:rPr>
                <w:rFonts w:cs="Times New Roman"/>
                <w:sz w:val="24"/>
              </w:rPr>
            </w:pPr>
          </w:p>
        </w:tc>
        <w:tc>
          <w:tcPr>
            <w:tcW w:w="2491" w:type="dxa"/>
            <w:vAlign w:val="center"/>
          </w:tcPr>
          <w:p w14:paraId="29EF2AD4">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模型路由配置</w:t>
            </w:r>
          </w:p>
        </w:tc>
        <w:tc>
          <w:tcPr>
            <w:tcW w:w="2281" w:type="dxa"/>
            <w:vAlign w:val="center"/>
          </w:tcPr>
          <w:p w14:paraId="3B7547D1">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聚焦成本的精准模型调度</w:t>
            </w:r>
          </w:p>
        </w:tc>
        <w:tc>
          <w:tcPr>
            <w:tcW w:w="2276" w:type="dxa"/>
            <w:vAlign w:val="center"/>
          </w:tcPr>
          <w:p w14:paraId="03EBF82D">
            <w:pPr>
              <w:widowControl/>
              <w:spacing w:line="340" w:lineRule="exact"/>
              <w:ind w:firstLine="0" w:firstLineChars="0"/>
              <w:jc w:val="center"/>
              <w:rPr>
                <w:rFonts w:ascii="Arial" w:hAnsi="Arial" w:cs="Arial"/>
                <w:sz w:val="24"/>
              </w:rPr>
            </w:pPr>
            <w:r>
              <w:rPr>
                <w:rFonts w:hint="eastAsia" w:ascii="Arial" w:hAnsi="Arial" w:cs="Arial"/>
                <w:sz w:val="24"/>
              </w:rPr>
              <w:t>聚焦算力资源分配的精准模型调度</w:t>
            </w:r>
          </w:p>
        </w:tc>
      </w:tr>
      <w:tr w14:paraId="12A1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0" w:type="auto"/>
            <w:vMerge w:val="continue"/>
            <w:vAlign w:val="center"/>
          </w:tcPr>
          <w:p w14:paraId="1CDE696B">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14:paraId="0A410C90">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用量配额配置</w:t>
            </w:r>
          </w:p>
        </w:tc>
        <w:tc>
          <w:tcPr>
            <w:tcW w:w="2281" w:type="dxa"/>
            <w:vAlign w:val="center"/>
          </w:tcPr>
          <w:p w14:paraId="43F55EF1">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云端预算配额设定</w:t>
            </w:r>
          </w:p>
        </w:tc>
        <w:tc>
          <w:tcPr>
            <w:tcW w:w="2276" w:type="dxa"/>
            <w:vAlign w:val="center"/>
          </w:tcPr>
          <w:p w14:paraId="154AED3F">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算力资源配额配置</w:t>
            </w:r>
          </w:p>
        </w:tc>
      </w:tr>
      <w:tr w14:paraId="35E1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Merge w:val="continue"/>
            <w:vAlign w:val="center"/>
          </w:tcPr>
          <w:p w14:paraId="210BAA16">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14:paraId="4D996CB0">
            <w:pPr>
              <w:widowControl/>
              <w:spacing w:line="340" w:lineRule="exact"/>
              <w:ind w:firstLine="0" w:firstLineChars="0"/>
              <w:jc w:val="center"/>
              <w:rPr>
                <w:rFonts w:cs="Times New Roman"/>
                <w:sz w:val="24"/>
              </w:rPr>
            </w:pPr>
            <w:r>
              <w:rPr>
                <w:rFonts w:cs="Times New Roman"/>
                <w:sz w:val="24"/>
              </w:rPr>
              <w:t>Prompt工程</w:t>
            </w:r>
          </w:p>
        </w:tc>
        <w:tc>
          <w:tcPr>
            <w:tcW w:w="2281" w:type="dxa"/>
            <w:vAlign w:val="center"/>
          </w:tcPr>
          <w:p w14:paraId="2C028D09">
            <w:pPr>
              <w:widowControl/>
              <w:spacing w:line="340" w:lineRule="exact"/>
              <w:ind w:firstLine="0" w:firstLineChars="0"/>
              <w:jc w:val="center"/>
              <w:rPr>
                <w:rFonts w:hint="eastAsia" w:ascii="方正仿宋_GBK" w:hAnsi="方正仿宋_GBK" w:cs="方正仿宋_GBK"/>
                <w:sz w:val="24"/>
                <w:highlight w:val="yellow"/>
              </w:rPr>
            </w:pPr>
            <w:r>
              <w:rPr>
                <w:rFonts w:ascii="方正仿宋_GBK" w:hAnsi="方正仿宋_GBK" w:cs="方正仿宋_GBK"/>
                <w:sz w:val="24"/>
              </w:rPr>
              <w:t>固定内容前置</w:t>
            </w:r>
          </w:p>
        </w:tc>
        <w:tc>
          <w:tcPr>
            <w:tcW w:w="2276" w:type="dxa"/>
            <w:vAlign w:val="center"/>
          </w:tcPr>
          <w:p w14:paraId="512B2A32">
            <w:pPr>
              <w:widowControl/>
              <w:spacing w:line="340" w:lineRule="exact"/>
              <w:ind w:firstLine="0" w:firstLineChars="0"/>
              <w:jc w:val="center"/>
              <w:rPr>
                <w:rFonts w:hint="eastAsia" w:ascii="方正仿宋_GBK" w:hAnsi="方正仿宋_GBK" w:cs="方正仿宋_GBK"/>
                <w:sz w:val="24"/>
                <w:highlight w:val="yellow"/>
              </w:rPr>
            </w:pPr>
            <w:r>
              <w:rPr>
                <w:rFonts w:ascii="方正仿宋_GBK" w:hAnsi="方正仿宋_GBK" w:cs="方正仿宋_GBK"/>
                <w:sz w:val="24"/>
              </w:rPr>
              <w:t>精简</w:t>
            </w:r>
            <w:r>
              <w:rPr>
                <w:rFonts w:cs="Times New Roman"/>
                <w:sz w:val="24"/>
              </w:rPr>
              <w:t>Prompt</w:t>
            </w:r>
          </w:p>
        </w:tc>
      </w:tr>
      <w:tr w14:paraId="6F33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Merge w:val="continue"/>
            <w:vAlign w:val="center"/>
          </w:tcPr>
          <w:p w14:paraId="41389A32">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14:paraId="72CE51D9">
            <w:pPr>
              <w:widowControl/>
              <w:spacing w:line="340" w:lineRule="exact"/>
              <w:ind w:firstLine="0" w:firstLineChars="0"/>
              <w:jc w:val="center"/>
              <w:rPr>
                <w:rFonts w:hint="eastAsia" w:ascii="方正仿宋_GBK" w:hAnsi="方正仿宋_GBK" w:cs="方正仿宋_GBK"/>
                <w:sz w:val="24"/>
              </w:rPr>
            </w:pPr>
            <w:r>
              <w:rPr>
                <w:rFonts w:hint="eastAsia" w:cs="Times New Roman"/>
                <w:sz w:val="24"/>
              </w:rPr>
              <w:t>RAG配置与更新</w:t>
            </w:r>
          </w:p>
        </w:tc>
        <w:tc>
          <w:tcPr>
            <w:tcW w:w="2281" w:type="dxa"/>
            <w:vAlign w:val="center"/>
          </w:tcPr>
          <w:p w14:paraId="12BBF41F">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控制检索</w:t>
            </w:r>
            <w:r>
              <w:rPr>
                <w:rFonts w:cs="Times New Roman"/>
                <w:sz w:val="24"/>
              </w:rPr>
              <w:t>Token</w:t>
            </w:r>
            <w:r>
              <w:rPr>
                <w:rFonts w:hint="eastAsia" w:ascii="方正仿宋_GBK" w:hAnsi="方正仿宋_GBK" w:cs="方正仿宋_GBK"/>
                <w:sz w:val="24"/>
              </w:rPr>
              <w:t>量</w:t>
            </w:r>
          </w:p>
        </w:tc>
        <w:tc>
          <w:tcPr>
            <w:tcW w:w="2276" w:type="dxa"/>
            <w:vAlign w:val="center"/>
          </w:tcPr>
          <w:p w14:paraId="23A01DA7">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优化检索性能效率</w:t>
            </w:r>
          </w:p>
        </w:tc>
      </w:tr>
      <w:tr w14:paraId="61FA7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750" w:type="dxa"/>
            <w:vMerge w:val="restart"/>
            <w:vAlign w:val="center"/>
          </w:tcPr>
          <w:p w14:paraId="3AEF4F20">
            <w:pPr>
              <w:widowControl/>
              <w:spacing w:line="340" w:lineRule="exact"/>
              <w:ind w:firstLine="0" w:firstLineChars="0"/>
              <w:rPr>
                <w:rFonts w:hint="eastAsia" w:ascii="方正仿宋_GBK" w:hAnsi="方正仿宋_GBK" w:cs="方正仿宋_GBK"/>
                <w:sz w:val="24"/>
              </w:rPr>
            </w:pPr>
            <w:r>
              <w:rPr>
                <w:rFonts w:hint="eastAsia" w:ascii="方正仿宋_GBK" w:hAnsi="方正仿宋_GBK" w:cs="方正仿宋_GBK"/>
                <w:sz w:val="24"/>
              </w:rPr>
              <w:t>事中运行监控</w:t>
            </w:r>
          </w:p>
        </w:tc>
        <w:tc>
          <w:tcPr>
            <w:tcW w:w="2491" w:type="dxa"/>
            <w:vAlign w:val="center"/>
          </w:tcPr>
          <w:p w14:paraId="16CEE295">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并发与限流机制</w:t>
            </w:r>
          </w:p>
        </w:tc>
        <w:tc>
          <w:tcPr>
            <w:tcW w:w="2281" w:type="dxa"/>
            <w:vAlign w:val="center"/>
          </w:tcPr>
          <w:p w14:paraId="4644F811">
            <w:pPr>
              <w:widowControl/>
              <w:spacing w:line="340" w:lineRule="exact"/>
              <w:ind w:firstLine="0" w:firstLineChars="0"/>
              <w:jc w:val="center"/>
              <w:rPr>
                <w:rFonts w:ascii="Arial" w:hAnsi="Arial" w:cs="Arial"/>
                <w:sz w:val="24"/>
              </w:rPr>
            </w:pPr>
            <w:r>
              <w:rPr>
                <w:rFonts w:hint="eastAsia" w:ascii="Arial" w:hAnsi="Arial" w:cs="Arial"/>
                <w:sz w:val="24"/>
              </w:rPr>
              <w:t>网关分级队列与配额联动管控</w:t>
            </w:r>
          </w:p>
        </w:tc>
        <w:tc>
          <w:tcPr>
            <w:tcW w:w="2276" w:type="dxa"/>
            <w:vAlign w:val="center"/>
          </w:tcPr>
          <w:p w14:paraId="49C131FB">
            <w:pPr>
              <w:widowControl/>
              <w:spacing w:line="340" w:lineRule="exact"/>
              <w:ind w:firstLine="0" w:firstLineChars="0"/>
              <w:jc w:val="center"/>
              <w:rPr>
                <w:rFonts w:ascii="Arial" w:hAnsi="Arial" w:cs="Arial"/>
                <w:sz w:val="24"/>
              </w:rPr>
            </w:pPr>
            <w:r>
              <w:rPr>
                <w:rFonts w:hint="eastAsia" w:ascii="Arial" w:hAnsi="Arial" w:cs="Arial"/>
                <w:sz w:val="24"/>
              </w:rPr>
              <w:t>算力动态调度与分级降级释放</w:t>
            </w:r>
          </w:p>
        </w:tc>
      </w:tr>
      <w:tr w14:paraId="54F8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750" w:type="dxa"/>
            <w:vMerge w:val="continue"/>
            <w:vAlign w:val="center"/>
          </w:tcPr>
          <w:p w14:paraId="6BA0F095">
            <w:pPr>
              <w:widowControl/>
              <w:spacing w:line="340" w:lineRule="exact"/>
              <w:ind w:firstLine="0" w:firstLineChars="0"/>
              <w:rPr>
                <w:rFonts w:hint="eastAsia" w:ascii="方正仿宋_GBK" w:hAnsi="方正仿宋_GBK" w:cs="方正仿宋_GBK"/>
                <w:sz w:val="24"/>
              </w:rPr>
            </w:pPr>
          </w:p>
        </w:tc>
        <w:tc>
          <w:tcPr>
            <w:tcW w:w="2491" w:type="dxa"/>
            <w:vAlign w:val="center"/>
          </w:tcPr>
          <w:p w14:paraId="7DC0E058">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缓存复用与语义拦截</w:t>
            </w:r>
          </w:p>
        </w:tc>
        <w:tc>
          <w:tcPr>
            <w:tcW w:w="2281" w:type="dxa"/>
            <w:vAlign w:val="center"/>
          </w:tcPr>
          <w:p w14:paraId="3280C4A6">
            <w:pPr>
              <w:widowControl/>
              <w:spacing w:line="340" w:lineRule="exact"/>
              <w:ind w:firstLine="0" w:firstLineChars="0"/>
              <w:jc w:val="center"/>
              <w:rPr>
                <w:rFonts w:ascii="Arial" w:hAnsi="Arial" w:cs="Arial"/>
                <w:sz w:val="24"/>
              </w:rPr>
            </w:pPr>
            <w:r>
              <w:rPr>
                <w:rFonts w:ascii="Arial" w:hAnsi="Arial" w:cs="Arial"/>
                <w:sz w:val="24"/>
              </w:rPr>
              <w:t>提缓存率省费用</w:t>
            </w:r>
          </w:p>
        </w:tc>
        <w:tc>
          <w:tcPr>
            <w:tcW w:w="2276" w:type="dxa"/>
            <w:vAlign w:val="center"/>
          </w:tcPr>
          <w:p w14:paraId="5F7A7D32">
            <w:pPr>
              <w:widowControl/>
              <w:spacing w:line="340" w:lineRule="exact"/>
              <w:ind w:firstLine="0" w:firstLineChars="0"/>
              <w:jc w:val="center"/>
              <w:rPr>
                <w:rFonts w:ascii="Arial" w:hAnsi="Arial" w:cs="Arial"/>
                <w:sz w:val="24"/>
              </w:rPr>
            </w:pPr>
            <w:r>
              <w:rPr>
                <w:rFonts w:ascii="Arial" w:hAnsi="Arial" w:cs="Arial"/>
                <w:sz w:val="24"/>
              </w:rPr>
              <w:t>减重复计算省算力</w:t>
            </w:r>
          </w:p>
        </w:tc>
      </w:tr>
      <w:tr w14:paraId="5106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750" w:type="dxa"/>
            <w:vMerge w:val="continue"/>
            <w:vAlign w:val="center"/>
          </w:tcPr>
          <w:p w14:paraId="4344C67D">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14:paraId="1BCC1C34">
            <w:pPr>
              <w:widowControl/>
              <w:spacing w:line="340" w:lineRule="exact"/>
              <w:ind w:firstLine="0" w:firstLineChars="0"/>
              <w:jc w:val="center"/>
              <w:rPr>
                <w:rFonts w:hint="eastAsia" w:ascii="方正仿宋_GBK" w:hAnsi="方正仿宋_GBK" w:cs="方正仿宋_GBK"/>
                <w:sz w:val="24"/>
              </w:rPr>
            </w:pPr>
            <w:r>
              <w:rPr>
                <w:rFonts w:hint="eastAsia" w:ascii="Arial" w:hAnsi="Arial" w:cs="Arial"/>
                <w:sz w:val="24"/>
              </w:rPr>
              <w:t>余量调配与扩缩容</w:t>
            </w:r>
          </w:p>
        </w:tc>
        <w:tc>
          <w:tcPr>
            <w:tcW w:w="2281" w:type="dxa"/>
            <w:vAlign w:val="center"/>
          </w:tcPr>
          <w:p w14:paraId="0C2B05EE">
            <w:pPr>
              <w:widowControl/>
              <w:spacing w:line="340" w:lineRule="exact"/>
              <w:ind w:firstLine="0" w:firstLineChars="0"/>
              <w:jc w:val="center"/>
              <w:rPr>
                <w:rFonts w:hint="eastAsia" w:ascii="方正仿宋_GBK" w:hAnsi="方正仿宋_GBK" w:cs="方正仿宋_GBK"/>
                <w:sz w:val="24"/>
              </w:rPr>
            </w:pPr>
            <w:r>
              <w:rPr>
                <w:rFonts w:hint="eastAsia" w:ascii="Arial" w:hAnsi="Arial" w:cs="Arial"/>
                <w:sz w:val="24"/>
              </w:rPr>
              <w:t>网关调度</w:t>
            </w:r>
          </w:p>
        </w:tc>
        <w:tc>
          <w:tcPr>
            <w:tcW w:w="2276" w:type="dxa"/>
            <w:vAlign w:val="center"/>
          </w:tcPr>
          <w:p w14:paraId="45FF09E8">
            <w:pPr>
              <w:widowControl/>
              <w:spacing w:line="340" w:lineRule="exact"/>
              <w:ind w:firstLine="0" w:firstLineChars="0"/>
              <w:jc w:val="center"/>
              <w:rPr>
                <w:rFonts w:ascii="Arial" w:hAnsi="Arial" w:cs="Arial"/>
                <w:sz w:val="24"/>
              </w:rPr>
            </w:pPr>
            <w:r>
              <w:rPr>
                <w:rFonts w:hint="eastAsia" w:ascii="Arial" w:hAnsi="Arial" w:cs="Arial"/>
                <w:sz w:val="24"/>
              </w:rPr>
              <w:t>算力资源池调度</w:t>
            </w:r>
          </w:p>
        </w:tc>
      </w:tr>
      <w:tr w14:paraId="77EE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750" w:type="dxa"/>
            <w:vMerge w:val="continue"/>
            <w:vAlign w:val="center"/>
          </w:tcPr>
          <w:p w14:paraId="5152984C">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14:paraId="482D1D98">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数据合规与脱敏</w:t>
            </w:r>
          </w:p>
        </w:tc>
        <w:tc>
          <w:tcPr>
            <w:tcW w:w="2281" w:type="dxa"/>
            <w:vAlign w:val="center"/>
          </w:tcPr>
          <w:p w14:paraId="2EAECA0F">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数据出域风险管控</w:t>
            </w:r>
          </w:p>
        </w:tc>
        <w:tc>
          <w:tcPr>
            <w:tcW w:w="2276" w:type="dxa"/>
            <w:vAlign w:val="center"/>
          </w:tcPr>
          <w:p w14:paraId="233EE055">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内部权限分级管控</w:t>
            </w:r>
          </w:p>
        </w:tc>
      </w:tr>
      <w:tr w14:paraId="7D67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750" w:type="dxa"/>
            <w:vMerge w:val="continue"/>
            <w:vAlign w:val="center"/>
          </w:tcPr>
          <w:p w14:paraId="5F1D1808">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14:paraId="47EF758C">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实时监控与审计</w:t>
            </w:r>
          </w:p>
        </w:tc>
        <w:tc>
          <w:tcPr>
            <w:tcW w:w="2281" w:type="dxa"/>
            <w:vAlign w:val="center"/>
          </w:tcPr>
          <w:p w14:paraId="003A104E">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云端用量</w:t>
            </w:r>
          </w:p>
        </w:tc>
        <w:tc>
          <w:tcPr>
            <w:tcW w:w="2276" w:type="dxa"/>
            <w:vAlign w:val="center"/>
          </w:tcPr>
          <w:p w14:paraId="74CC95CD">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算力设施</w:t>
            </w:r>
          </w:p>
        </w:tc>
      </w:tr>
      <w:tr w14:paraId="5141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750" w:type="dxa"/>
            <w:vMerge w:val="continue"/>
            <w:vAlign w:val="center"/>
          </w:tcPr>
          <w:p w14:paraId="1E7CB89E">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14:paraId="238F1443">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人工介入与兜底</w:t>
            </w:r>
          </w:p>
        </w:tc>
        <w:tc>
          <w:tcPr>
            <w:tcW w:w="2281" w:type="dxa"/>
            <w:vAlign w:val="center"/>
          </w:tcPr>
          <w:p w14:paraId="08AD5BAF">
            <w:pPr>
              <w:widowControl/>
              <w:spacing w:line="340" w:lineRule="exact"/>
              <w:ind w:firstLine="0" w:firstLineChars="0"/>
              <w:jc w:val="center"/>
              <w:rPr>
                <w:rFonts w:ascii="Arial" w:hAnsi="Arial" w:cs="Arial"/>
                <w:sz w:val="24"/>
              </w:rPr>
            </w:pPr>
            <w:r>
              <w:rPr>
                <w:rFonts w:hint="eastAsia" w:ascii="Arial" w:hAnsi="Arial" w:cs="Arial"/>
                <w:sz w:val="24"/>
              </w:rPr>
              <w:t>敏感内容审计与云端用量应急管控</w:t>
            </w:r>
          </w:p>
        </w:tc>
        <w:tc>
          <w:tcPr>
            <w:tcW w:w="2276" w:type="dxa"/>
            <w:vAlign w:val="center"/>
          </w:tcPr>
          <w:p w14:paraId="60B9153B">
            <w:pPr>
              <w:widowControl/>
              <w:spacing w:line="340" w:lineRule="exact"/>
              <w:ind w:firstLine="0" w:firstLineChars="0"/>
              <w:jc w:val="center"/>
              <w:rPr>
                <w:rFonts w:ascii="Arial" w:hAnsi="Arial" w:cs="Arial"/>
                <w:sz w:val="24"/>
              </w:rPr>
            </w:pPr>
            <w:r>
              <w:rPr>
                <w:rFonts w:hint="eastAsia" w:ascii="Arial" w:hAnsi="Arial" w:cs="Arial"/>
                <w:sz w:val="24"/>
              </w:rPr>
              <w:t>工控系统管控与算力过载调度</w:t>
            </w:r>
          </w:p>
        </w:tc>
      </w:tr>
      <w:tr w14:paraId="659A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0" w:type="auto"/>
            <w:vMerge w:val="restart"/>
            <w:vAlign w:val="center"/>
          </w:tcPr>
          <w:p w14:paraId="671CE767">
            <w:pPr>
              <w:widowControl/>
              <w:spacing w:line="340" w:lineRule="exact"/>
              <w:ind w:firstLine="0" w:firstLineChars="0"/>
            </w:pPr>
            <w:r>
              <w:rPr>
                <w:rFonts w:hint="eastAsia" w:ascii="方正仿宋_GBK" w:hAnsi="方正仿宋_GBK" w:cs="方正仿宋_GBK"/>
                <w:sz w:val="24"/>
              </w:rPr>
              <w:t>事后复盘优化</w:t>
            </w:r>
          </w:p>
        </w:tc>
        <w:tc>
          <w:tcPr>
            <w:tcW w:w="2491" w:type="dxa"/>
            <w:vAlign w:val="center"/>
          </w:tcPr>
          <w:p w14:paraId="0064A286">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精细化账单归因</w:t>
            </w:r>
          </w:p>
        </w:tc>
        <w:tc>
          <w:tcPr>
            <w:tcW w:w="2281" w:type="dxa"/>
            <w:vAlign w:val="center"/>
          </w:tcPr>
          <w:p w14:paraId="64884030">
            <w:pPr>
              <w:widowControl/>
              <w:spacing w:line="340" w:lineRule="exact"/>
              <w:ind w:firstLine="0" w:firstLineChars="0"/>
              <w:jc w:val="center"/>
              <w:rPr>
                <w:rFonts w:hint="eastAsia" w:ascii="方正仿宋_GBK" w:hAnsi="方正仿宋_GBK" w:cs="方正仿宋_GBK"/>
                <w:sz w:val="24"/>
                <w:highlight w:val="yellow"/>
              </w:rPr>
            </w:pPr>
            <w:r>
              <w:rPr>
                <w:rFonts w:cs="Times New Roman"/>
                <w:sz w:val="24"/>
              </w:rPr>
              <w:t>API</w:t>
            </w:r>
            <w:r>
              <w:rPr>
                <w:rFonts w:ascii="Arial" w:hAnsi="Arial" w:cs="Arial"/>
                <w:sz w:val="24"/>
              </w:rPr>
              <w:t>调用费用</w:t>
            </w:r>
          </w:p>
        </w:tc>
        <w:tc>
          <w:tcPr>
            <w:tcW w:w="2276" w:type="dxa"/>
            <w:vAlign w:val="center"/>
          </w:tcPr>
          <w:p w14:paraId="7A84A3BA">
            <w:pPr>
              <w:widowControl/>
              <w:spacing w:line="340" w:lineRule="exact"/>
              <w:ind w:firstLine="0" w:firstLineChars="0"/>
              <w:jc w:val="center"/>
              <w:rPr>
                <w:rFonts w:hint="eastAsia" w:ascii="方正仿宋_GBK" w:hAnsi="方正仿宋_GBK" w:cs="方正仿宋_GBK"/>
                <w:sz w:val="24"/>
                <w:highlight w:val="yellow"/>
              </w:rPr>
            </w:pPr>
            <w:r>
              <w:rPr>
                <w:rFonts w:hint="eastAsia" w:ascii="方正仿宋_GBK" w:hAnsi="方正仿宋_GBK" w:cs="方正仿宋_GBK"/>
                <w:sz w:val="24"/>
              </w:rPr>
              <w:t>算力成本分摊</w:t>
            </w:r>
          </w:p>
        </w:tc>
      </w:tr>
      <w:tr w14:paraId="00D2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0" w:type="auto"/>
            <w:vMerge w:val="continue"/>
            <w:vAlign w:val="center"/>
          </w:tcPr>
          <w:p w14:paraId="375E08E9">
            <w:pPr>
              <w:widowControl/>
              <w:spacing w:line="340" w:lineRule="exact"/>
              <w:ind w:firstLine="0" w:firstLineChars="0"/>
              <w:jc w:val="center"/>
              <w:rPr>
                <w:rFonts w:hint="eastAsia" w:ascii="方正仿宋_GBK" w:hAnsi="方正仿宋_GBK" w:cs="方正仿宋_GBK"/>
                <w:sz w:val="24"/>
              </w:rPr>
            </w:pPr>
          </w:p>
        </w:tc>
        <w:tc>
          <w:tcPr>
            <w:tcW w:w="2491" w:type="dxa"/>
            <w:vAlign w:val="center"/>
          </w:tcPr>
          <w:p w14:paraId="61B179A6">
            <w:pPr>
              <w:widowControl/>
              <w:spacing w:line="3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综合效能评估</w:t>
            </w:r>
          </w:p>
        </w:tc>
        <w:tc>
          <w:tcPr>
            <w:tcW w:w="2281" w:type="dxa"/>
            <w:vAlign w:val="center"/>
          </w:tcPr>
          <w:p w14:paraId="576DEDA6">
            <w:pPr>
              <w:widowControl/>
              <w:spacing w:line="340" w:lineRule="exact"/>
              <w:ind w:firstLine="0" w:firstLineChars="0"/>
              <w:jc w:val="center"/>
              <w:rPr>
                <w:rFonts w:cs="Times New Roman"/>
                <w:sz w:val="24"/>
              </w:rPr>
            </w:pPr>
            <w:r>
              <w:rPr>
                <w:rFonts w:hint="eastAsia" w:ascii="Arial" w:hAnsi="Arial" w:cs="Arial"/>
                <w:sz w:val="24"/>
              </w:rPr>
              <w:t>云端投入的</w:t>
            </w:r>
            <w:r>
              <w:rPr>
                <w:rFonts w:cs="Times New Roman"/>
                <w:sz w:val="24"/>
              </w:rPr>
              <w:t>ROI</w:t>
            </w:r>
          </w:p>
          <w:p w14:paraId="3A3D2A27">
            <w:pPr>
              <w:widowControl/>
              <w:spacing w:line="340" w:lineRule="exact"/>
              <w:ind w:firstLine="0" w:firstLineChars="0"/>
              <w:jc w:val="center"/>
              <w:rPr>
                <w:rFonts w:hint="eastAsia" w:ascii="方正仿宋_GBK" w:hAnsi="方正仿宋_GBK" w:cs="方正仿宋_GBK"/>
                <w:sz w:val="24"/>
              </w:rPr>
            </w:pPr>
            <w:r>
              <w:rPr>
                <w:rFonts w:hint="eastAsia" w:ascii="Arial" w:hAnsi="Arial" w:cs="Arial"/>
                <w:sz w:val="24"/>
              </w:rPr>
              <w:t>量化</w:t>
            </w:r>
          </w:p>
        </w:tc>
        <w:tc>
          <w:tcPr>
            <w:tcW w:w="2276" w:type="dxa"/>
            <w:vAlign w:val="center"/>
          </w:tcPr>
          <w:p w14:paraId="766429CD">
            <w:pPr>
              <w:widowControl/>
              <w:spacing w:line="340" w:lineRule="exact"/>
              <w:ind w:firstLine="0" w:firstLineChars="0"/>
              <w:jc w:val="center"/>
              <w:rPr>
                <w:rFonts w:cs="Times New Roman"/>
                <w:sz w:val="24"/>
              </w:rPr>
            </w:pPr>
            <w:r>
              <w:rPr>
                <w:rFonts w:hint="eastAsia" w:ascii="方正仿宋_GBK" w:hAnsi="方正仿宋_GBK" w:cs="方正仿宋_GBK"/>
                <w:sz w:val="24"/>
              </w:rPr>
              <w:t>硬件投入</w:t>
            </w:r>
            <w:r>
              <w:rPr>
                <w:rFonts w:cs="Times New Roman"/>
                <w:sz w:val="24"/>
              </w:rPr>
              <w:t>的ROI</w:t>
            </w:r>
          </w:p>
          <w:p w14:paraId="5D9D74DF">
            <w:pPr>
              <w:widowControl/>
              <w:spacing w:line="340" w:lineRule="exact"/>
              <w:ind w:firstLine="0" w:firstLineChars="0"/>
              <w:jc w:val="center"/>
              <w:rPr>
                <w:rFonts w:hint="eastAsia" w:ascii="方正仿宋_GBK" w:hAnsi="方正仿宋_GBK" w:cs="方正仿宋_GBK"/>
                <w:sz w:val="24"/>
              </w:rPr>
            </w:pPr>
            <w:r>
              <w:rPr>
                <w:rFonts w:cs="Times New Roman"/>
                <w:sz w:val="24"/>
              </w:rPr>
              <w:t>量</w:t>
            </w:r>
            <w:r>
              <w:rPr>
                <w:rFonts w:hint="eastAsia" w:ascii="方正仿宋_GBK" w:hAnsi="方正仿宋_GBK" w:cs="方正仿宋_GBK"/>
                <w:sz w:val="24"/>
              </w:rPr>
              <w:t>化</w:t>
            </w:r>
          </w:p>
        </w:tc>
      </w:tr>
    </w:tbl>
    <w:p w14:paraId="7942CD61">
      <w:pPr>
        <w:pStyle w:val="3"/>
        <w:numPr>
          <w:ilvl w:val="0"/>
          <w:numId w:val="1"/>
        </w:numPr>
      </w:pPr>
      <w:bookmarkStart w:id="35" w:name="_Toc32445"/>
      <w:bookmarkStart w:id="36" w:name="_Toc13498"/>
      <w:bookmarkStart w:id="37" w:name="_Toc13135"/>
      <w:r>
        <w:rPr>
          <w:rFonts w:hint="eastAsia"/>
        </w:rPr>
        <w:t>事前规划预置</w:t>
      </w:r>
      <w:bookmarkEnd w:id="35"/>
      <w:bookmarkEnd w:id="36"/>
    </w:p>
    <w:p w14:paraId="2D25699B">
      <w:pPr>
        <w:pStyle w:val="4"/>
        <w:ind w:firstLine="643"/>
      </w:pPr>
      <w:bookmarkStart w:id="38" w:name="_Toc3660"/>
      <w:bookmarkStart w:id="39" w:name="_Toc15233"/>
      <w:r>
        <w:rPr>
          <w:rFonts w:hint="eastAsia"/>
        </w:rPr>
        <w:t>1.</w:t>
      </w:r>
      <w:r>
        <w:rPr>
          <w:rFonts w:hint="eastAsia" w:ascii="方正仿宋_GBK" w:hAnsi="方正仿宋_GBK" w:cs="方正仿宋_GBK"/>
          <w:szCs w:val="32"/>
        </w:rPr>
        <w:t>场景分级与立项评估</w:t>
      </w:r>
      <w:bookmarkEnd w:id="38"/>
      <w:bookmarkEnd w:id="39"/>
    </w:p>
    <w:p w14:paraId="07E5F95A">
      <w:pPr>
        <w:ind w:firstLine="640"/>
      </w:pPr>
      <w:r>
        <w:rPr>
          <w:rFonts w:hint="eastAsia"/>
        </w:rPr>
        <w:t>场景分级与立项评估的核心目标是规范</w:t>
      </w:r>
      <w:r>
        <w:rPr>
          <w:rFonts w:cs="Times New Roman"/>
        </w:rPr>
        <w:t>AI</w:t>
      </w:r>
      <w:r>
        <w:rPr>
          <w:rFonts w:hint="eastAsia"/>
        </w:rPr>
        <w:t>场景准入管理，形成分级分类场景管控体系，实现</w:t>
      </w:r>
      <w:r>
        <w:rPr>
          <w:rFonts w:cs="Times New Roman"/>
        </w:rPr>
        <w:t>Token</w:t>
      </w:r>
      <w:r>
        <w:rPr>
          <w:rFonts w:hint="eastAsia"/>
        </w:rPr>
        <w:t>资源投入的源头精准把控，为资源配额核定、调度优先级配置、全周期效能评估提供前置决策依据。</w:t>
      </w:r>
    </w:p>
    <w:p w14:paraId="3A961673">
      <w:pPr>
        <w:ind w:firstLine="643"/>
      </w:pPr>
      <w:r>
        <w:rPr>
          <w:rFonts w:hint="eastAsia"/>
          <w:b/>
          <w:bCs/>
        </w:rPr>
        <w:t>业务场景分级与立项评估应坚持四大原则</w:t>
      </w:r>
      <w:r>
        <w:rPr>
          <w:rFonts w:hint="eastAsia"/>
        </w:rPr>
        <w:t>：一是价值导向配置，资源按场景价值等级、业务优先级差异化投放，不得无差别划拨通用</w:t>
      </w:r>
      <w:r>
        <w:rPr>
          <w:rFonts w:cs="Times New Roman"/>
        </w:rPr>
        <w:t>Token</w:t>
      </w:r>
      <w:r>
        <w:rPr>
          <w:rFonts w:hint="eastAsia"/>
        </w:rPr>
        <w:t>额度；二是分级分类管控，搭建“业务类别—风险等级—管控策略”对应体系，支持差异化准入规则与管控强度适配；三是多维度量化评估，围绕业务价值、技术需求、安全合规、成本效益四大维度开展联合评审，杜绝主观化、经验化准入判定；四是全周期动态迭代，建立场景复评、调整退出与变更管控机制，实现准入清单与资源配额的动态优化。</w:t>
      </w:r>
    </w:p>
    <w:p w14:paraId="15A46891">
      <w:pPr>
        <w:ind w:firstLine="643"/>
      </w:pPr>
      <w:r>
        <w:rPr>
          <w:rFonts w:hint="eastAsia"/>
          <w:b/>
          <w:bCs/>
        </w:rPr>
        <w:t>具体来看，首先</w:t>
      </w:r>
      <w:r>
        <w:rPr>
          <w:rFonts w:hint="eastAsia"/>
        </w:rPr>
        <w:t>进行场景分类分级评定，完成场景归类、等级划定与管控策略匹配。在业务属性分类上，</w:t>
      </w:r>
      <w:r>
        <w:rPr>
          <w:rFonts w:hint="eastAsia" w:ascii="方正仿宋_GBK" w:hAnsi="方正仿宋_GBK" w:cs="方正仿宋_GBK"/>
          <w:szCs w:val="32"/>
        </w:rPr>
        <w:t>聚焦制造业核心业务，划分智能生产质检、工业工艺优化、设备运维诊断、安全管控等核心场景，以及通用咨询、数据统计等一般性场景</w:t>
      </w:r>
      <w:r>
        <w:rPr>
          <w:rFonts w:hint="eastAsia"/>
        </w:rPr>
        <w:t>。在等级评定上，围绕业务重要性、数据敏感等级、生产链路关联度、风险影响程度四项核心维度，将所有场景划分为核心一级、重要二级、普通三级三个等级，其中直连生产控制系统、全程无人干预、运行于生产控制网等高风险一级生产场景，存在核心工艺数据外泄风险，统一强制采用本地部署，不纳入公有云评估范围。等级划定后同步匹配对应管控框架，核心一级场景对应最高调度优先级、保障型配额、全量安全防护与全链路审计，重要二级、普通三级场景依次下调配置标准。</w:t>
      </w:r>
      <w:r>
        <w:rPr>
          <w:rFonts w:hint="eastAsia"/>
          <w:b/>
          <w:bCs/>
        </w:rPr>
        <w:t>其次</w:t>
      </w:r>
      <w:r>
        <w:rPr>
          <w:rFonts w:hint="eastAsia"/>
        </w:rPr>
        <w:t>进行多维度联合立项评估，围绕四大维度完成需求的标准化、量化定义。业务价值维度明确生产效率提升、人工成本节约等可量化效益指标，评估场景覆盖范围与长期存续性，作为后续</w:t>
      </w:r>
      <w:r>
        <w:rPr>
          <w:rFonts w:cs="Times New Roman"/>
        </w:rPr>
        <w:t>ROI</w:t>
      </w:r>
      <w:r>
        <w:rPr>
          <w:rFonts w:hint="eastAsia"/>
        </w:rPr>
        <w:t>核算的基准；技术需求维度界定任务范式、输入输出模态、业务效果与运行性能指标，形成场景数据需求指标，为后续模型选型、算力配置提供直接输入；安全合规维度判定数据敏感等级与合规标准，初步明确适配的部署模式范围，划定强制本地化部署底线；成本效益维度测算周期内</w:t>
      </w:r>
      <w:r>
        <w:rPr>
          <w:rFonts w:cs="Times New Roman"/>
        </w:rPr>
        <w:t>Token</w:t>
      </w:r>
      <w:r>
        <w:rPr>
          <w:rFonts w:hint="eastAsia"/>
        </w:rPr>
        <w:t>消耗总量与对应成本规模，估算一次性建设与长期运维投入，形成初步投入产出判断。</w:t>
      </w:r>
      <w:r>
        <w:rPr>
          <w:rFonts w:hint="eastAsia"/>
          <w:b/>
          <w:bCs/>
        </w:rPr>
        <w:t>最后</w:t>
      </w:r>
      <w:r>
        <w:rPr>
          <w:rFonts w:hint="eastAsia"/>
        </w:rPr>
        <w:t>建立周期复评机制，每年组织全场景复评一次，结合年度</w:t>
      </w:r>
      <w:r>
        <w:rPr>
          <w:rFonts w:cs="Times New Roman"/>
        </w:rPr>
        <w:t>Token</w:t>
      </w:r>
      <w:r>
        <w:rPr>
          <w:rFonts w:hint="eastAsia"/>
        </w:rPr>
        <w:t>投入产出比、业务实际成效、运行风险情况，重新核定场景等级与资源配置标准。对业务价值下降、</w:t>
      </w:r>
      <w:r>
        <w:rPr>
          <w:rFonts w:cs="Times New Roman"/>
        </w:rPr>
        <w:t>ROI</w:t>
      </w:r>
      <w:r>
        <w:rPr>
          <w:rFonts w:hint="eastAsia"/>
        </w:rPr>
        <w:t>持续偏低、无效消耗占比过高的场景予以降级或清退。</w:t>
      </w:r>
    </w:p>
    <w:p w14:paraId="7F4E46C7">
      <w:pPr>
        <w:ind w:firstLine="640"/>
      </w:pPr>
    </w:p>
    <w:p w14:paraId="6A8CC2D2">
      <w:pPr>
        <w:ind w:firstLine="0" w:firstLineChars="0"/>
        <w:jc w:val="cente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4</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-1 场景评估维度与评分标准</w:t>
      </w:r>
    </w:p>
    <w:tbl>
      <w:tblPr>
        <w:tblStyle w:val="25"/>
        <w:tblW w:w="8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928"/>
        <w:gridCol w:w="1928"/>
        <w:gridCol w:w="1987"/>
        <w:gridCol w:w="2009"/>
      </w:tblGrid>
      <w:tr w14:paraId="0576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025" w:type="dxa"/>
            <w:noWrap/>
            <w:vAlign w:val="center"/>
          </w:tcPr>
          <w:p w14:paraId="4B4413AF">
            <w:pPr>
              <w:snapToGrid w:val="0"/>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评分</w:t>
            </w:r>
          </w:p>
          <w:p w14:paraId="1CE6972B">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权重</w:t>
            </w:r>
          </w:p>
        </w:tc>
        <w:tc>
          <w:tcPr>
            <w:tcW w:w="1928" w:type="dxa"/>
            <w:noWrap/>
            <w:vAlign w:val="center"/>
          </w:tcPr>
          <w:p w14:paraId="3CB30895">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业务重要性</w:t>
            </w:r>
          </w:p>
          <w:p w14:paraId="05C565DE">
            <w:pPr>
              <w:spacing w:line="32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lang w:bidi="ar"/>
              </w:rPr>
              <w:t>（权重：30%）</w:t>
            </w:r>
          </w:p>
        </w:tc>
        <w:tc>
          <w:tcPr>
            <w:tcW w:w="1928" w:type="dxa"/>
            <w:noWrap/>
            <w:vAlign w:val="center"/>
          </w:tcPr>
          <w:p w14:paraId="1BAFEBDA">
            <w:pPr>
              <w:spacing w:line="32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lang w:bidi="ar"/>
              </w:rPr>
              <w:t>数据敏感等级</w:t>
            </w:r>
            <w:r>
              <w:rPr>
                <w:rFonts w:hint="eastAsia" w:ascii="方正黑体_GBK" w:hAnsi="方正黑体_GBK" w:eastAsia="方正黑体_GBK" w:cs="方正黑体_GBK"/>
                <w:b w:val="0"/>
                <w:bCs w:val="0"/>
                <w:sz w:val="24"/>
                <w:szCs w:val="21"/>
                <w:lang w:bidi="ar"/>
              </w:rPr>
              <w:br w:type="textWrapping"/>
            </w:r>
            <w:r>
              <w:rPr>
                <w:rFonts w:hint="eastAsia" w:ascii="方正黑体_GBK" w:hAnsi="方正黑体_GBK" w:eastAsia="方正黑体_GBK" w:cs="方正黑体_GBK"/>
                <w:b w:val="0"/>
                <w:bCs w:val="0"/>
                <w:sz w:val="24"/>
                <w:szCs w:val="21"/>
                <w:lang w:bidi="ar"/>
              </w:rPr>
              <w:t>（权重：25%）</w:t>
            </w:r>
          </w:p>
        </w:tc>
        <w:tc>
          <w:tcPr>
            <w:tcW w:w="1987" w:type="dxa"/>
            <w:noWrap/>
            <w:vAlign w:val="center"/>
          </w:tcPr>
          <w:p w14:paraId="34846C23">
            <w:pPr>
              <w:spacing w:line="32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lang w:bidi="ar"/>
              </w:rPr>
              <w:t>生产链路关联度</w:t>
            </w:r>
            <w:r>
              <w:rPr>
                <w:rFonts w:hint="eastAsia" w:ascii="方正黑体_GBK" w:hAnsi="方正黑体_GBK" w:eastAsia="方正黑体_GBK" w:cs="方正黑体_GBK"/>
                <w:b w:val="0"/>
                <w:bCs w:val="0"/>
                <w:sz w:val="24"/>
                <w:szCs w:val="21"/>
                <w:lang w:bidi="ar"/>
              </w:rPr>
              <w:br w:type="textWrapping"/>
            </w:r>
            <w:r>
              <w:rPr>
                <w:rFonts w:hint="eastAsia" w:ascii="方正黑体_GBK" w:hAnsi="方正黑体_GBK" w:eastAsia="方正黑体_GBK" w:cs="方正黑体_GBK"/>
                <w:b w:val="0"/>
                <w:bCs w:val="0"/>
                <w:sz w:val="24"/>
                <w:szCs w:val="21"/>
                <w:lang w:bidi="ar"/>
              </w:rPr>
              <w:t>（权重：25%）</w:t>
            </w:r>
          </w:p>
        </w:tc>
        <w:tc>
          <w:tcPr>
            <w:tcW w:w="2009" w:type="dxa"/>
            <w:noWrap/>
            <w:vAlign w:val="center"/>
          </w:tcPr>
          <w:p w14:paraId="50B7CD03">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风险影响程度</w:t>
            </w:r>
            <w:r>
              <w:rPr>
                <w:rFonts w:hint="eastAsia" w:ascii="方正黑体_GBK" w:hAnsi="方正黑体_GBK" w:eastAsia="方正黑体_GBK" w:cs="方正黑体_GBK"/>
                <w:b w:val="0"/>
                <w:bCs w:val="0"/>
                <w:sz w:val="24"/>
                <w:szCs w:val="21"/>
                <w:lang w:bidi="ar"/>
              </w:rPr>
              <w:br w:type="textWrapping"/>
            </w:r>
            <w:r>
              <w:rPr>
                <w:rFonts w:hint="eastAsia" w:ascii="方正黑体_GBK" w:hAnsi="方正黑体_GBK" w:eastAsia="方正黑体_GBK" w:cs="方正黑体_GBK"/>
                <w:b w:val="0"/>
                <w:bCs w:val="0"/>
                <w:sz w:val="24"/>
                <w:szCs w:val="21"/>
                <w:lang w:bidi="ar"/>
              </w:rPr>
              <w:t>（权重：20%）</w:t>
            </w:r>
          </w:p>
        </w:tc>
      </w:tr>
      <w:tr w14:paraId="5F01D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025" w:type="dxa"/>
            <w:noWrap/>
            <w:vAlign w:val="center"/>
          </w:tcPr>
          <w:p w14:paraId="29DE159E">
            <w:pPr>
              <w:spacing w:line="320" w:lineRule="exact"/>
              <w:ind w:firstLine="0" w:firstLineChars="0"/>
              <w:jc w:val="center"/>
              <w:rPr>
                <w:sz w:val="24"/>
                <w:szCs w:val="21"/>
                <w:lang w:bidi="ar"/>
              </w:rPr>
            </w:pPr>
            <w:r>
              <w:rPr>
                <w:rFonts w:hint="eastAsia"/>
                <w:sz w:val="24"/>
                <w:szCs w:val="21"/>
                <w:lang w:bidi="ar"/>
              </w:rPr>
              <w:t>5分</w:t>
            </w:r>
          </w:p>
        </w:tc>
        <w:tc>
          <w:tcPr>
            <w:tcW w:w="1928" w:type="dxa"/>
            <w:noWrap/>
            <w:vAlign w:val="center"/>
          </w:tcPr>
          <w:p w14:paraId="7EFAF549">
            <w:pPr>
              <w:spacing w:line="320" w:lineRule="exact"/>
              <w:ind w:firstLine="0" w:firstLineChars="0"/>
              <w:jc w:val="center"/>
              <w:rPr>
                <w:sz w:val="24"/>
                <w:szCs w:val="21"/>
              </w:rPr>
            </w:pPr>
            <w:r>
              <w:rPr>
                <w:rFonts w:hint="eastAsia"/>
                <w:sz w:val="24"/>
                <w:szCs w:val="21"/>
                <w:lang w:bidi="ar"/>
              </w:rPr>
              <w:t>中断即停产，直接影响交付</w:t>
            </w:r>
          </w:p>
        </w:tc>
        <w:tc>
          <w:tcPr>
            <w:tcW w:w="1928" w:type="dxa"/>
            <w:noWrap/>
            <w:vAlign w:val="center"/>
          </w:tcPr>
          <w:p w14:paraId="3A6CEE34">
            <w:pPr>
              <w:spacing w:line="320" w:lineRule="exact"/>
              <w:ind w:firstLine="0" w:firstLineChars="0"/>
              <w:jc w:val="center"/>
              <w:rPr>
                <w:sz w:val="24"/>
                <w:szCs w:val="21"/>
              </w:rPr>
            </w:pPr>
            <w:r>
              <w:rPr>
                <w:rFonts w:hint="eastAsia"/>
                <w:sz w:val="24"/>
                <w:szCs w:val="21"/>
                <w:lang w:bidi="ar"/>
              </w:rPr>
              <w:t>涉及核心工艺配方、专利数据</w:t>
            </w:r>
          </w:p>
        </w:tc>
        <w:tc>
          <w:tcPr>
            <w:tcW w:w="1987" w:type="dxa"/>
            <w:noWrap/>
            <w:vAlign w:val="center"/>
          </w:tcPr>
          <w:p w14:paraId="6F279B99">
            <w:pPr>
              <w:spacing w:line="320" w:lineRule="exact"/>
              <w:ind w:firstLine="0" w:firstLineChars="0"/>
              <w:jc w:val="center"/>
              <w:rPr>
                <w:sz w:val="24"/>
                <w:szCs w:val="21"/>
              </w:rPr>
            </w:pPr>
            <w:r>
              <w:rPr>
                <w:rFonts w:hint="eastAsia"/>
                <w:sz w:val="24"/>
                <w:szCs w:val="21"/>
                <w:lang w:bidi="ar"/>
              </w:rPr>
              <w:t>直连生产控制系统，全程无人干预</w:t>
            </w:r>
          </w:p>
        </w:tc>
        <w:tc>
          <w:tcPr>
            <w:tcW w:w="2009" w:type="dxa"/>
            <w:noWrap/>
            <w:vAlign w:val="center"/>
          </w:tcPr>
          <w:p w14:paraId="54CBE206">
            <w:pPr>
              <w:spacing w:line="320" w:lineRule="exact"/>
              <w:ind w:firstLine="0" w:firstLineChars="0"/>
              <w:jc w:val="center"/>
              <w:rPr>
                <w:sz w:val="24"/>
                <w:szCs w:val="21"/>
                <w:lang w:bidi="ar"/>
              </w:rPr>
            </w:pPr>
            <w:r>
              <w:rPr>
                <w:rFonts w:hint="eastAsia"/>
                <w:sz w:val="24"/>
                <w:szCs w:val="21"/>
                <w:lang w:bidi="ar"/>
              </w:rPr>
              <w:t>可能导致安全事故或重大质量缺陷</w:t>
            </w:r>
          </w:p>
        </w:tc>
      </w:tr>
      <w:tr w14:paraId="1A435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025" w:type="dxa"/>
            <w:noWrap/>
            <w:vAlign w:val="center"/>
          </w:tcPr>
          <w:p w14:paraId="550ABA76">
            <w:pPr>
              <w:spacing w:line="320" w:lineRule="exact"/>
              <w:ind w:firstLine="0" w:firstLineChars="0"/>
              <w:jc w:val="center"/>
              <w:rPr>
                <w:sz w:val="24"/>
                <w:szCs w:val="21"/>
                <w:lang w:bidi="ar"/>
              </w:rPr>
            </w:pPr>
            <w:r>
              <w:rPr>
                <w:rFonts w:hint="eastAsia"/>
                <w:sz w:val="24"/>
                <w:szCs w:val="21"/>
                <w:lang w:bidi="ar"/>
              </w:rPr>
              <w:t>4分</w:t>
            </w:r>
          </w:p>
        </w:tc>
        <w:tc>
          <w:tcPr>
            <w:tcW w:w="1928" w:type="dxa"/>
            <w:noWrap/>
            <w:vAlign w:val="center"/>
          </w:tcPr>
          <w:p w14:paraId="297A81A8">
            <w:pPr>
              <w:spacing w:line="320" w:lineRule="exact"/>
              <w:ind w:firstLine="0" w:firstLineChars="0"/>
              <w:jc w:val="center"/>
              <w:rPr>
                <w:sz w:val="24"/>
                <w:szCs w:val="21"/>
              </w:rPr>
            </w:pPr>
            <w:r>
              <w:rPr>
                <w:rFonts w:hint="eastAsia"/>
                <w:sz w:val="24"/>
                <w:szCs w:val="21"/>
                <w:lang w:bidi="ar"/>
              </w:rPr>
              <w:t>中断严重影响生产效率</w:t>
            </w:r>
          </w:p>
        </w:tc>
        <w:tc>
          <w:tcPr>
            <w:tcW w:w="1928" w:type="dxa"/>
            <w:noWrap/>
            <w:vAlign w:val="center"/>
          </w:tcPr>
          <w:p w14:paraId="34CED499">
            <w:pPr>
              <w:spacing w:line="320" w:lineRule="exact"/>
              <w:ind w:firstLine="0" w:firstLineChars="0"/>
              <w:jc w:val="center"/>
              <w:rPr>
                <w:sz w:val="24"/>
                <w:szCs w:val="21"/>
              </w:rPr>
            </w:pPr>
            <w:r>
              <w:rPr>
                <w:rFonts w:hint="eastAsia"/>
                <w:sz w:val="24"/>
                <w:szCs w:val="21"/>
                <w:lang w:bidi="ar"/>
              </w:rPr>
              <w:t>涉及客户核心数据、财务数据</w:t>
            </w:r>
          </w:p>
        </w:tc>
        <w:tc>
          <w:tcPr>
            <w:tcW w:w="1987" w:type="dxa"/>
            <w:noWrap/>
            <w:vAlign w:val="center"/>
          </w:tcPr>
          <w:p w14:paraId="02099309">
            <w:pPr>
              <w:spacing w:line="320" w:lineRule="exact"/>
              <w:ind w:firstLine="0" w:firstLineChars="0"/>
              <w:jc w:val="center"/>
              <w:rPr>
                <w:sz w:val="24"/>
                <w:szCs w:val="21"/>
              </w:rPr>
            </w:pPr>
            <w:r>
              <w:rPr>
                <w:rFonts w:hint="eastAsia"/>
                <w:sz w:val="24"/>
                <w:szCs w:val="21"/>
                <w:lang w:bidi="ar"/>
              </w:rPr>
              <w:t>与MES/ERP深度集成，半自动执行</w:t>
            </w:r>
          </w:p>
        </w:tc>
        <w:tc>
          <w:tcPr>
            <w:tcW w:w="2009" w:type="dxa"/>
            <w:noWrap/>
            <w:vAlign w:val="center"/>
          </w:tcPr>
          <w:p w14:paraId="519406EA">
            <w:pPr>
              <w:spacing w:line="320" w:lineRule="exact"/>
              <w:ind w:firstLine="0" w:firstLineChars="0"/>
              <w:jc w:val="center"/>
              <w:rPr>
                <w:sz w:val="24"/>
                <w:szCs w:val="21"/>
                <w:lang w:bidi="ar"/>
              </w:rPr>
            </w:pPr>
            <w:r>
              <w:rPr>
                <w:rFonts w:hint="eastAsia"/>
                <w:sz w:val="24"/>
                <w:szCs w:val="21"/>
                <w:lang w:bidi="ar"/>
              </w:rPr>
              <w:t>可能导致批量返工或客户投诉</w:t>
            </w:r>
          </w:p>
        </w:tc>
      </w:tr>
      <w:tr w14:paraId="3FB2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025" w:type="dxa"/>
            <w:noWrap/>
            <w:vAlign w:val="center"/>
          </w:tcPr>
          <w:p w14:paraId="3080BB13">
            <w:pPr>
              <w:spacing w:line="320" w:lineRule="exact"/>
              <w:ind w:firstLine="0" w:firstLineChars="0"/>
              <w:jc w:val="center"/>
              <w:rPr>
                <w:sz w:val="24"/>
                <w:szCs w:val="21"/>
                <w:lang w:bidi="ar"/>
              </w:rPr>
            </w:pPr>
            <w:r>
              <w:rPr>
                <w:rFonts w:hint="eastAsia"/>
                <w:sz w:val="24"/>
                <w:szCs w:val="21"/>
                <w:lang w:bidi="ar"/>
              </w:rPr>
              <w:t>3分</w:t>
            </w:r>
          </w:p>
        </w:tc>
        <w:tc>
          <w:tcPr>
            <w:tcW w:w="1928" w:type="dxa"/>
            <w:noWrap/>
            <w:vAlign w:val="center"/>
          </w:tcPr>
          <w:p w14:paraId="3F61DFC8">
            <w:pPr>
              <w:spacing w:line="320" w:lineRule="exact"/>
              <w:ind w:firstLine="0" w:firstLineChars="0"/>
              <w:jc w:val="center"/>
              <w:rPr>
                <w:sz w:val="24"/>
                <w:szCs w:val="21"/>
              </w:rPr>
            </w:pPr>
            <w:r>
              <w:rPr>
                <w:rFonts w:hint="eastAsia"/>
                <w:sz w:val="24"/>
                <w:szCs w:val="21"/>
                <w:lang w:bidi="ar"/>
              </w:rPr>
              <w:t>中断影响局部业务运转</w:t>
            </w:r>
          </w:p>
        </w:tc>
        <w:tc>
          <w:tcPr>
            <w:tcW w:w="1928" w:type="dxa"/>
            <w:noWrap/>
            <w:vAlign w:val="center"/>
          </w:tcPr>
          <w:p w14:paraId="1F54553E">
            <w:pPr>
              <w:spacing w:line="320" w:lineRule="exact"/>
              <w:ind w:firstLine="0" w:firstLineChars="0"/>
              <w:jc w:val="center"/>
              <w:rPr>
                <w:sz w:val="24"/>
                <w:szCs w:val="21"/>
              </w:rPr>
            </w:pPr>
            <w:r>
              <w:rPr>
                <w:rFonts w:hint="eastAsia"/>
                <w:sz w:val="24"/>
                <w:szCs w:val="21"/>
                <w:lang w:bidi="ar"/>
              </w:rPr>
              <w:t>涉及内部经营数据、员工信息</w:t>
            </w:r>
          </w:p>
        </w:tc>
        <w:tc>
          <w:tcPr>
            <w:tcW w:w="1987" w:type="dxa"/>
            <w:noWrap/>
            <w:vAlign w:val="center"/>
          </w:tcPr>
          <w:p w14:paraId="01ABC2EC">
            <w:pPr>
              <w:spacing w:line="320" w:lineRule="exact"/>
              <w:ind w:firstLine="0" w:firstLineChars="0"/>
              <w:jc w:val="center"/>
              <w:rPr>
                <w:sz w:val="24"/>
                <w:szCs w:val="21"/>
              </w:rPr>
            </w:pPr>
            <w:r>
              <w:rPr>
                <w:rFonts w:hint="eastAsia"/>
                <w:sz w:val="24"/>
                <w:szCs w:val="21"/>
                <w:lang w:bidi="ar"/>
              </w:rPr>
              <w:t>与业务系统对接，人工确认后执行</w:t>
            </w:r>
          </w:p>
        </w:tc>
        <w:tc>
          <w:tcPr>
            <w:tcW w:w="2009" w:type="dxa"/>
            <w:noWrap/>
            <w:vAlign w:val="center"/>
          </w:tcPr>
          <w:p w14:paraId="3A412E06">
            <w:pPr>
              <w:spacing w:line="320" w:lineRule="exact"/>
              <w:ind w:firstLine="0" w:firstLineChars="0"/>
              <w:jc w:val="center"/>
              <w:rPr>
                <w:sz w:val="24"/>
                <w:szCs w:val="21"/>
                <w:lang w:bidi="ar"/>
              </w:rPr>
            </w:pPr>
            <w:r>
              <w:rPr>
                <w:rFonts w:hint="eastAsia"/>
                <w:sz w:val="24"/>
                <w:szCs w:val="21"/>
                <w:lang w:bidi="ar"/>
              </w:rPr>
              <w:t>可能导致效率下降或资源浪费</w:t>
            </w:r>
          </w:p>
        </w:tc>
      </w:tr>
      <w:tr w14:paraId="565C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025" w:type="dxa"/>
            <w:noWrap/>
            <w:vAlign w:val="center"/>
          </w:tcPr>
          <w:p w14:paraId="1651730A">
            <w:pPr>
              <w:spacing w:line="320" w:lineRule="exact"/>
              <w:ind w:firstLine="0" w:firstLineChars="0"/>
              <w:jc w:val="center"/>
              <w:rPr>
                <w:sz w:val="24"/>
                <w:szCs w:val="21"/>
                <w:lang w:bidi="ar"/>
              </w:rPr>
            </w:pPr>
            <w:r>
              <w:rPr>
                <w:rFonts w:hint="eastAsia"/>
                <w:sz w:val="24"/>
                <w:szCs w:val="21"/>
                <w:lang w:bidi="ar"/>
              </w:rPr>
              <w:t>2分</w:t>
            </w:r>
          </w:p>
        </w:tc>
        <w:tc>
          <w:tcPr>
            <w:tcW w:w="1928" w:type="dxa"/>
            <w:noWrap/>
            <w:vAlign w:val="center"/>
          </w:tcPr>
          <w:p w14:paraId="03585CCA">
            <w:pPr>
              <w:spacing w:line="320" w:lineRule="exact"/>
              <w:ind w:firstLine="0" w:firstLineChars="0"/>
              <w:jc w:val="center"/>
              <w:rPr>
                <w:sz w:val="24"/>
                <w:szCs w:val="21"/>
              </w:rPr>
            </w:pPr>
            <w:r>
              <w:rPr>
                <w:rFonts w:hint="eastAsia"/>
                <w:sz w:val="24"/>
                <w:szCs w:val="21"/>
                <w:lang w:bidi="ar"/>
              </w:rPr>
              <w:t>中断影响可控，有替代方案</w:t>
            </w:r>
          </w:p>
        </w:tc>
        <w:tc>
          <w:tcPr>
            <w:tcW w:w="1928" w:type="dxa"/>
            <w:noWrap/>
            <w:vAlign w:val="center"/>
          </w:tcPr>
          <w:p w14:paraId="3F3E92FE">
            <w:pPr>
              <w:spacing w:line="320" w:lineRule="exact"/>
              <w:ind w:firstLine="0" w:firstLineChars="0"/>
              <w:jc w:val="center"/>
              <w:rPr>
                <w:sz w:val="24"/>
                <w:szCs w:val="21"/>
              </w:rPr>
            </w:pPr>
            <w:r>
              <w:rPr>
                <w:rFonts w:hint="eastAsia"/>
                <w:sz w:val="24"/>
                <w:szCs w:val="21"/>
                <w:lang w:bidi="ar"/>
              </w:rPr>
              <w:t>涉及一般内部数据</w:t>
            </w:r>
          </w:p>
        </w:tc>
        <w:tc>
          <w:tcPr>
            <w:tcW w:w="1987" w:type="dxa"/>
            <w:noWrap/>
            <w:vAlign w:val="center"/>
          </w:tcPr>
          <w:p w14:paraId="4B6C923F">
            <w:pPr>
              <w:spacing w:line="320" w:lineRule="exact"/>
              <w:ind w:firstLine="0" w:firstLineChars="0"/>
              <w:jc w:val="center"/>
              <w:rPr>
                <w:sz w:val="24"/>
                <w:szCs w:val="21"/>
              </w:rPr>
            </w:pPr>
            <w:r>
              <w:rPr>
                <w:rFonts w:hint="eastAsia"/>
                <w:sz w:val="24"/>
                <w:szCs w:val="21"/>
                <w:lang w:bidi="ar"/>
              </w:rPr>
              <w:t>独立运行，不直接对接生产系统</w:t>
            </w:r>
          </w:p>
        </w:tc>
        <w:tc>
          <w:tcPr>
            <w:tcW w:w="2009" w:type="dxa"/>
            <w:noWrap/>
            <w:vAlign w:val="center"/>
          </w:tcPr>
          <w:p w14:paraId="514C904D">
            <w:pPr>
              <w:spacing w:line="320" w:lineRule="exact"/>
              <w:ind w:firstLine="0" w:firstLineChars="0"/>
              <w:jc w:val="center"/>
              <w:rPr>
                <w:sz w:val="24"/>
                <w:szCs w:val="21"/>
                <w:lang w:bidi="ar"/>
              </w:rPr>
            </w:pPr>
            <w:r>
              <w:rPr>
                <w:rFonts w:hint="eastAsia"/>
                <w:sz w:val="24"/>
                <w:szCs w:val="21"/>
                <w:lang w:bidi="ar"/>
              </w:rPr>
              <w:t>影响有限，可通过人工修正</w:t>
            </w:r>
          </w:p>
        </w:tc>
      </w:tr>
      <w:tr w14:paraId="0AB3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025" w:type="dxa"/>
            <w:noWrap/>
            <w:vAlign w:val="center"/>
          </w:tcPr>
          <w:p w14:paraId="38E974EF">
            <w:pPr>
              <w:spacing w:line="320" w:lineRule="exact"/>
              <w:ind w:firstLine="0" w:firstLineChars="0"/>
              <w:jc w:val="center"/>
              <w:rPr>
                <w:sz w:val="24"/>
                <w:szCs w:val="21"/>
                <w:lang w:bidi="ar"/>
              </w:rPr>
            </w:pPr>
            <w:r>
              <w:rPr>
                <w:rFonts w:hint="eastAsia"/>
                <w:sz w:val="24"/>
                <w:szCs w:val="21"/>
                <w:lang w:bidi="ar"/>
              </w:rPr>
              <w:t>1分</w:t>
            </w:r>
          </w:p>
        </w:tc>
        <w:tc>
          <w:tcPr>
            <w:tcW w:w="1928" w:type="dxa"/>
            <w:noWrap/>
            <w:vAlign w:val="center"/>
          </w:tcPr>
          <w:p w14:paraId="2A27D8F8">
            <w:pPr>
              <w:spacing w:line="320" w:lineRule="exact"/>
              <w:ind w:firstLine="0" w:firstLineChars="0"/>
              <w:jc w:val="center"/>
              <w:rPr>
                <w:sz w:val="24"/>
                <w:szCs w:val="21"/>
              </w:rPr>
            </w:pPr>
            <w:r>
              <w:rPr>
                <w:rFonts w:hint="eastAsia"/>
                <w:sz w:val="24"/>
                <w:szCs w:val="21"/>
                <w:lang w:bidi="ar"/>
              </w:rPr>
              <w:t>辅助性场景，中断无实质影响</w:t>
            </w:r>
          </w:p>
        </w:tc>
        <w:tc>
          <w:tcPr>
            <w:tcW w:w="1928" w:type="dxa"/>
            <w:noWrap/>
            <w:vAlign w:val="center"/>
          </w:tcPr>
          <w:p w14:paraId="2AA560DB">
            <w:pPr>
              <w:spacing w:line="320" w:lineRule="exact"/>
              <w:ind w:firstLine="0" w:firstLineChars="0"/>
              <w:jc w:val="center"/>
              <w:rPr>
                <w:sz w:val="24"/>
                <w:szCs w:val="21"/>
              </w:rPr>
            </w:pPr>
            <w:r>
              <w:rPr>
                <w:rFonts w:hint="eastAsia"/>
                <w:sz w:val="24"/>
                <w:szCs w:val="21"/>
                <w:lang w:bidi="ar"/>
              </w:rPr>
              <w:t>仅涉及公开或脱敏数据</w:t>
            </w:r>
          </w:p>
        </w:tc>
        <w:tc>
          <w:tcPr>
            <w:tcW w:w="1987" w:type="dxa"/>
            <w:noWrap/>
            <w:vAlign w:val="center"/>
          </w:tcPr>
          <w:p w14:paraId="1569F54F">
            <w:pPr>
              <w:spacing w:line="320" w:lineRule="exact"/>
              <w:ind w:firstLine="0" w:firstLineChars="0"/>
              <w:jc w:val="center"/>
              <w:rPr>
                <w:sz w:val="24"/>
                <w:szCs w:val="21"/>
              </w:rPr>
            </w:pPr>
            <w:r>
              <w:rPr>
                <w:rFonts w:hint="eastAsia"/>
                <w:sz w:val="24"/>
                <w:szCs w:val="21"/>
                <w:lang w:bidi="ar"/>
              </w:rPr>
              <w:t>完全独立，无系统对接</w:t>
            </w:r>
          </w:p>
        </w:tc>
        <w:tc>
          <w:tcPr>
            <w:tcW w:w="2009" w:type="dxa"/>
            <w:noWrap/>
            <w:vAlign w:val="center"/>
          </w:tcPr>
          <w:p w14:paraId="3A23E555">
            <w:pPr>
              <w:spacing w:line="320" w:lineRule="exact"/>
              <w:ind w:firstLine="0" w:firstLineChars="0"/>
              <w:jc w:val="center"/>
              <w:rPr>
                <w:sz w:val="24"/>
                <w:szCs w:val="21"/>
                <w:lang w:bidi="ar"/>
              </w:rPr>
            </w:pPr>
            <w:r>
              <w:rPr>
                <w:rFonts w:hint="eastAsia"/>
                <w:sz w:val="24"/>
                <w:szCs w:val="21"/>
                <w:lang w:bidi="ar"/>
              </w:rPr>
              <w:t>几乎无风险</w:t>
            </w:r>
          </w:p>
        </w:tc>
      </w:tr>
    </w:tbl>
    <w:p w14:paraId="56BABCBC">
      <w:pPr>
        <w:ind w:firstLine="0" w:firstLineChars="0"/>
        <w:jc w:val="center"/>
        <w:rPr>
          <w:rFonts w:hint="default" w:ascii="Times New Roman" w:hAnsi="Times New Roman" w:eastAsia="方正黑体_GBK" w:cs="Times New Roman"/>
          <w:sz w:val="24"/>
          <w:szCs w:val="21"/>
        </w:rPr>
      </w:pPr>
      <w:r>
        <w:rPr>
          <w:rFonts w:hint="default" w:ascii="Times New Roman" w:hAnsi="Times New Roman" w:eastAsia="方正黑体_GBK" w:cs="Times New Roman"/>
          <w:sz w:val="24"/>
          <w:szCs w:val="21"/>
        </w:rPr>
        <w:t>表4-2 场景归类与等级判定</w:t>
      </w:r>
    </w:p>
    <w:tbl>
      <w:tblPr>
        <w:tblStyle w:val="25"/>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353"/>
        <w:gridCol w:w="2348"/>
        <w:gridCol w:w="1874"/>
        <w:gridCol w:w="1733"/>
      </w:tblGrid>
      <w:tr w14:paraId="195C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20" w:type="dxa"/>
            <w:noWrap/>
            <w:vAlign w:val="center"/>
          </w:tcPr>
          <w:p w14:paraId="6F29EB5E">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等级</w:t>
            </w:r>
          </w:p>
        </w:tc>
        <w:tc>
          <w:tcPr>
            <w:tcW w:w="1353" w:type="dxa"/>
            <w:noWrap/>
            <w:vAlign w:val="center"/>
          </w:tcPr>
          <w:p w14:paraId="747E791B">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加权总分区间</w:t>
            </w:r>
          </w:p>
        </w:tc>
        <w:tc>
          <w:tcPr>
            <w:tcW w:w="2348" w:type="dxa"/>
            <w:noWrap/>
            <w:vAlign w:val="center"/>
          </w:tcPr>
          <w:p w14:paraId="68B86CA9">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典型场景</w:t>
            </w:r>
          </w:p>
        </w:tc>
        <w:tc>
          <w:tcPr>
            <w:tcW w:w="1874" w:type="dxa"/>
            <w:noWrap/>
            <w:vAlign w:val="center"/>
          </w:tcPr>
          <w:p w14:paraId="0C7964A9">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部署方式</w:t>
            </w:r>
          </w:p>
        </w:tc>
        <w:tc>
          <w:tcPr>
            <w:tcW w:w="1733" w:type="dxa"/>
            <w:noWrap/>
            <w:vAlign w:val="center"/>
          </w:tcPr>
          <w:p w14:paraId="7BB07DB5">
            <w:pPr>
              <w:spacing w:line="320" w:lineRule="exact"/>
              <w:ind w:firstLine="0" w:firstLineChars="0"/>
              <w:jc w:val="center"/>
              <w:rPr>
                <w:rFonts w:hint="eastAsia" w:ascii="方正黑体_GBK" w:hAnsi="方正黑体_GBK" w:eastAsia="方正黑体_GBK" w:cs="方正黑体_GBK"/>
                <w:b w:val="0"/>
                <w:bCs w:val="0"/>
                <w:sz w:val="24"/>
                <w:szCs w:val="21"/>
                <w:lang w:bidi="ar"/>
              </w:rPr>
            </w:pPr>
            <w:r>
              <w:rPr>
                <w:rFonts w:hint="eastAsia" w:ascii="方正黑体_GBK" w:hAnsi="方正黑体_GBK" w:eastAsia="方正黑体_GBK" w:cs="方正黑体_GBK"/>
                <w:b w:val="0"/>
                <w:bCs w:val="0"/>
                <w:sz w:val="24"/>
                <w:szCs w:val="21"/>
                <w:lang w:bidi="ar"/>
              </w:rPr>
              <w:t>管控策略</w:t>
            </w:r>
          </w:p>
        </w:tc>
      </w:tr>
      <w:tr w14:paraId="3141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20" w:type="dxa"/>
            <w:noWrap/>
            <w:vAlign w:val="center"/>
          </w:tcPr>
          <w:p w14:paraId="1DD4197D">
            <w:pPr>
              <w:spacing w:line="320" w:lineRule="exact"/>
              <w:ind w:firstLine="0" w:firstLineChars="0"/>
              <w:jc w:val="center"/>
              <w:rPr>
                <w:sz w:val="24"/>
                <w:szCs w:val="21"/>
                <w:lang w:bidi="ar"/>
              </w:rPr>
            </w:pPr>
            <w:r>
              <w:rPr>
                <w:rFonts w:hint="eastAsia"/>
                <w:sz w:val="24"/>
                <w:szCs w:val="21"/>
                <w:lang w:bidi="ar"/>
              </w:rPr>
              <w:t>核心一级</w:t>
            </w:r>
          </w:p>
        </w:tc>
        <w:tc>
          <w:tcPr>
            <w:tcW w:w="1353" w:type="dxa"/>
            <w:noWrap/>
            <w:vAlign w:val="center"/>
          </w:tcPr>
          <w:p w14:paraId="6B2E47C5">
            <w:pPr>
              <w:spacing w:line="320" w:lineRule="exact"/>
              <w:ind w:firstLine="0" w:firstLineChars="0"/>
              <w:jc w:val="center"/>
              <w:rPr>
                <w:sz w:val="24"/>
                <w:szCs w:val="21"/>
                <w:lang w:bidi="ar"/>
              </w:rPr>
            </w:pPr>
            <w:r>
              <w:rPr>
                <w:rFonts w:hint="eastAsia"/>
                <w:sz w:val="24"/>
                <w:szCs w:val="21"/>
                <w:lang w:bidi="ar"/>
              </w:rPr>
              <w:t>≥4.0</w:t>
            </w:r>
          </w:p>
        </w:tc>
        <w:tc>
          <w:tcPr>
            <w:tcW w:w="2348" w:type="dxa"/>
            <w:noWrap/>
            <w:vAlign w:val="center"/>
          </w:tcPr>
          <w:p w14:paraId="44377D42">
            <w:pPr>
              <w:spacing w:line="320" w:lineRule="exact"/>
              <w:ind w:firstLine="0" w:firstLineChars="0"/>
              <w:jc w:val="center"/>
              <w:rPr>
                <w:sz w:val="24"/>
                <w:szCs w:val="21"/>
                <w:lang w:bidi="ar"/>
              </w:rPr>
            </w:pPr>
            <w:r>
              <w:rPr>
                <w:rFonts w:hint="eastAsia"/>
                <w:sz w:val="24"/>
                <w:szCs w:val="21"/>
                <w:lang w:bidi="ar"/>
              </w:rPr>
              <w:t>智能生产质检、设备运维诊断、安全管控</w:t>
            </w:r>
          </w:p>
        </w:tc>
        <w:tc>
          <w:tcPr>
            <w:tcW w:w="1874" w:type="dxa"/>
            <w:noWrap/>
            <w:vAlign w:val="center"/>
          </w:tcPr>
          <w:p w14:paraId="3BB00733">
            <w:pPr>
              <w:spacing w:line="320" w:lineRule="exact"/>
              <w:ind w:firstLine="0" w:firstLineChars="0"/>
              <w:jc w:val="center"/>
              <w:rPr>
                <w:sz w:val="24"/>
                <w:szCs w:val="21"/>
                <w:lang w:bidi="ar"/>
              </w:rPr>
            </w:pPr>
            <w:r>
              <w:rPr>
                <w:rFonts w:hint="eastAsia"/>
                <w:sz w:val="24"/>
                <w:szCs w:val="21"/>
                <w:lang w:bidi="ar"/>
              </w:rPr>
              <w:t>强制本地部署</w:t>
            </w:r>
          </w:p>
        </w:tc>
        <w:tc>
          <w:tcPr>
            <w:tcW w:w="1733" w:type="dxa"/>
            <w:noWrap/>
            <w:vAlign w:val="center"/>
          </w:tcPr>
          <w:p w14:paraId="58AE24E4">
            <w:pPr>
              <w:spacing w:line="320" w:lineRule="exact"/>
              <w:ind w:firstLine="0" w:firstLineChars="0"/>
              <w:jc w:val="center"/>
              <w:rPr>
                <w:sz w:val="24"/>
                <w:szCs w:val="21"/>
                <w:lang w:bidi="ar"/>
              </w:rPr>
            </w:pPr>
            <w:r>
              <w:rPr>
                <w:rFonts w:hint="eastAsia"/>
                <w:sz w:val="24"/>
                <w:szCs w:val="21"/>
                <w:lang w:bidi="ar"/>
              </w:rPr>
              <w:t>最高调度优先级、保障型配额、全量安全防护、全链路审计</w:t>
            </w:r>
          </w:p>
        </w:tc>
      </w:tr>
      <w:tr w14:paraId="3F28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20" w:type="dxa"/>
            <w:noWrap/>
            <w:vAlign w:val="center"/>
          </w:tcPr>
          <w:p w14:paraId="7C1467DE">
            <w:pPr>
              <w:spacing w:line="320" w:lineRule="exact"/>
              <w:ind w:firstLine="0" w:firstLineChars="0"/>
              <w:jc w:val="center"/>
              <w:rPr>
                <w:sz w:val="24"/>
                <w:szCs w:val="21"/>
                <w:lang w:bidi="ar"/>
              </w:rPr>
            </w:pPr>
            <w:r>
              <w:rPr>
                <w:rFonts w:hint="eastAsia"/>
                <w:sz w:val="24"/>
                <w:szCs w:val="21"/>
                <w:lang w:bidi="ar"/>
              </w:rPr>
              <w:t>重要二级</w:t>
            </w:r>
          </w:p>
        </w:tc>
        <w:tc>
          <w:tcPr>
            <w:tcW w:w="1353" w:type="dxa"/>
            <w:noWrap/>
            <w:vAlign w:val="center"/>
          </w:tcPr>
          <w:p w14:paraId="02BF4F18">
            <w:pPr>
              <w:spacing w:line="320" w:lineRule="exact"/>
              <w:ind w:firstLine="0" w:firstLineChars="0"/>
              <w:jc w:val="center"/>
              <w:rPr>
                <w:sz w:val="24"/>
                <w:szCs w:val="21"/>
                <w:lang w:bidi="ar"/>
              </w:rPr>
            </w:pPr>
            <w:r>
              <w:rPr>
                <w:rFonts w:hint="eastAsia"/>
                <w:sz w:val="24"/>
                <w:szCs w:val="21"/>
                <w:lang w:bidi="ar"/>
              </w:rPr>
              <w:t>3.0~3.9</w:t>
            </w:r>
          </w:p>
        </w:tc>
        <w:tc>
          <w:tcPr>
            <w:tcW w:w="2348" w:type="dxa"/>
            <w:noWrap/>
            <w:vAlign w:val="center"/>
          </w:tcPr>
          <w:p w14:paraId="494BCFFA">
            <w:pPr>
              <w:spacing w:line="320" w:lineRule="exact"/>
              <w:ind w:firstLine="0" w:firstLineChars="0"/>
              <w:jc w:val="center"/>
              <w:rPr>
                <w:sz w:val="24"/>
                <w:szCs w:val="21"/>
                <w:lang w:bidi="ar"/>
              </w:rPr>
            </w:pPr>
            <w:r>
              <w:rPr>
                <w:rFonts w:hint="eastAsia"/>
                <w:sz w:val="24"/>
                <w:szCs w:val="21"/>
                <w:lang w:bidi="ar"/>
              </w:rPr>
              <w:t>供应链调度、研发设计辅助</w:t>
            </w:r>
          </w:p>
        </w:tc>
        <w:tc>
          <w:tcPr>
            <w:tcW w:w="1874" w:type="dxa"/>
            <w:noWrap/>
            <w:vAlign w:val="center"/>
          </w:tcPr>
          <w:p w14:paraId="3E91013A">
            <w:pPr>
              <w:spacing w:line="320" w:lineRule="exact"/>
              <w:ind w:firstLine="0" w:firstLineChars="0"/>
              <w:jc w:val="center"/>
              <w:rPr>
                <w:sz w:val="24"/>
                <w:szCs w:val="21"/>
                <w:lang w:bidi="ar"/>
              </w:rPr>
            </w:pPr>
            <w:r>
              <w:rPr>
                <w:rFonts w:hint="eastAsia"/>
                <w:sz w:val="24"/>
                <w:szCs w:val="21"/>
                <w:lang w:bidi="ar"/>
              </w:rPr>
              <w:t>优先本地部署，经安全评估后可采用私有云</w:t>
            </w:r>
          </w:p>
        </w:tc>
        <w:tc>
          <w:tcPr>
            <w:tcW w:w="1733" w:type="dxa"/>
            <w:noWrap/>
            <w:vAlign w:val="center"/>
          </w:tcPr>
          <w:p w14:paraId="32B42800">
            <w:pPr>
              <w:spacing w:line="320" w:lineRule="exact"/>
              <w:ind w:firstLine="0" w:firstLineChars="0"/>
              <w:jc w:val="center"/>
              <w:rPr>
                <w:sz w:val="24"/>
                <w:szCs w:val="21"/>
                <w:lang w:bidi="ar"/>
              </w:rPr>
            </w:pPr>
            <w:r>
              <w:rPr>
                <w:rFonts w:hint="eastAsia"/>
                <w:sz w:val="24"/>
                <w:szCs w:val="21"/>
                <w:lang w:bidi="ar"/>
              </w:rPr>
              <w:t>高调度优先级、预留型配额、重点安全防护、关键操作审计</w:t>
            </w:r>
          </w:p>
        </w:tc>
      </w:tr>
      <w:tr w14:paraId="06F5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20" w:type="dxa"/>
            <w:noWrap/>
            <w:vAlign w:val="center"/>
          </w:tcPr>
          <w:p w14:paraId="70C473EB">
            <w:pPr>
              <w:spacing w:line="320" w:lineRule="exact"/>
              <w:ind w:firstLine="0" w:firstLineChars="0"/>
              <w:jc w:val="center"/>
              <w:rPr>
                <w:sz w:val="24"/>
                <w:szCs w:val="21"/>
                <w:lang w:bidi="ar"/>
              </w:rPr>
            </w:pPr>
            <w:r>
              <w:rPr>
                <w:rFonts w:hint="eastAsia"/>
                <w:sz w:val="24"/>
                <w:szCs w:val="21"/>
                <w:lang w:bidi="ar"/>
              </w:rPr>
              <w:t>普通三级</w:t>
            </w:r>
          </w:p>
        </w:tc>
        <w:tc>
          <w:tcPr>
            <w:tcW w:w="1353" w:type="dxa"/>
            <w:noWrap/>
            <w:vAlign w:val="center"/>
          </w:tcPr>
          <w:p w14:paraId="30E58159">
            <w:pPr>
              <w:spacing w:line="320" w:lineRule="exact"/>
              <w:ind w:firstLine="0" w:firstLineChars="0"/>
              <w:jc w:val="center"/>
              <w:rPr>
                <w:sz w:val="24"/>
                <w:szCs w:val="21"/>
                <w:lang w:bidi="ar"/>
              </w:rPr>
            </w:pPr>
            <w:r>
              <w:rPr>
                <w:rFonts w:hint="eastAsia"/>
                <w:sz w:val="24"/>
                <w:szCs w:val="21"/>
                <w:lang w:bidi="ar"/>
              </w:rPr>
              <w:t>&lt;3.0</w:t>
            </w:r>
          </w:p>
        </w:tc>
        <w:tc>
          <w:tcPr>
            <w:tcW w:w="2348" w:type="dxa"/>
            <w:noWrap/>
            <w:vAlign w:val="center"/>
          </w:tcPr>
          <w:p w14:paraId="305A8A0C">
            <w:pPr>
              <w:spacing w:line="320" w:lineRule="exact"/>
              <w:ind w:firstLine="0" w:firstLineChars="0"/>
              <w:jc w:val="center"/>
              <w:rPr>
                <w:sz w:val="24"/>
                <w:szCs w:val="21"/>
                <w:lang w:bidi="ar"/>
              </w:rPr>
            </w:pPr>
            <w:r>
              <w:rPr>
                <w:rFonts w:hint="eastAsia"/>
                <w:sz w:val="24"/>
                <w:szCs w:val="21"/>
                <w:lang w:bidi="ar"/>
              </w:rPr>
              <w:t>企业办公赋能、通用咨询、数据统计</w:t>
            </w:r>
          </w:p>
        </w:tc>
        <w:tc>
          <w:tcPr>
            <w:tcW w:w="1874" w:type="dxa"/>
            <w:noWrap/>
            <w:vAlign w:val="center"/>
          </w:tcPr>
          <w:p w14:paraId="1170015C">
            <w:pPr>
              <w:spacing w:line="320" w:lineRule="exact"/>
              <w:ind w:firstLine="0" w:firstLineChars="0"/>
              <w:jc w:val="center"/>
              <w:rPr>
                <w:sz w:val="24"/>
                <w:szCs w:val="21"/>
                <w:lang w:bidi="ar"/>
              </w:rPr>
            </w:pPr>
            <w:r>
              <w:rPr>
                <w:rFonts w:hint="eastAsia"/>
                <w:sz w:val="24"/>
                <w:szCs w:val="21"/>
                <w:lang w:bidi="ar"/>
              </w:rPr>
              <w:t>可评估采用公有云部署</w:t>
            </w:r>
          </w:p>
        </w:tc>
        <w:tc>
          <w:tcPr>
            <w:tcW w:w="1733" w:type="dxa"/>
            <w:noWrap/>
            <w:vAlign w:val="center"/>
          </w:tcPr>
          <w:p w14:paraId="0BCA0665">
            <w:pPr>
              <w:spacing w:line="320" w:lineRule="exact"/>
              <w:ind w:firstLine="0" w:firstLineChars="0"/>
              <w:jc w:val="center"/>
              <w:rPr>
                <w:sz w:val="24"/>
                <w:szCs w:val="21"/>
                <w:lang w:bidi="ar"/>
              </w:rPr>
            </w:pPr>
            <w:r>
              <w:rPr>
                <w:rFonts w:hint="eastAsia"/>
                <w:sz w:val="24"/>
                <w:szCs w:val="21"/>
                <w:lang w:bidi="ar"/>
              </w:rPr>
              <w:t>常规调度优先级、弹性配额、基础安全防护、日志记录</w:t>
            </w:r>
          </w:p>
        </w:tc>
      </w:tr>
    </w:tbl>
    <w:p w14:paraId="5F0E721F">
      <w:pPr>
        <w:ind w:firstLine="640"/>
      </w:pPr>
      <w:bookmarkStart w:id="40" w:name="_Toc11274"/>
      <w:bookmarkStart w:id="41" w:name="_Toc18297"/>
    </w:p>
    <w:p w14:paraId="250A557B">
      <w:pPr>
        <w:pStyle w:val="4"/>
        <w:ind w:firstLine="643" w:firstLineChars="0"/>
      </w:pPr>
      <w:r>
        <w:rPr>
          <w:rFonts w:hint="eastAsia"/>
        </w:rPr>
        <w:t>2.模型选型与部署</w:t>
      </w:r>
      <w:bookmarkEnd w:id="40"/>
      <w:bookmarkEnd w:id="41"/>
    </w:p>
    <w:p w14:paraId="2AE19623">
      <w:pPr>
        <w:ind w:firstLine="640"/>
        <w:rPr>
          <w:rFonts w:hint="eastAsia" w:ascii="方正仿宋_GBK" w:hAnsi="方正仿宋_GBK" w:cs="方正仿宋_GBK"/>
          <w:szCs w:val="32"/>
        </w:rPr>
      </w:pPr>
      <w:r>
        <w:rPr>
          <w:rFonts w:hint="eastAsia" w:ascii="方正仿宋_GBK" w:hAnsi="方正仿宋_GBK" w:cs="方正仿宋_GBK"/>
          <w:szCs w:val="32"/>
        </w:rPr>
        <w:t>模型选型与部署的核心目标是让</w:t>
      </w:r>
      <w:r>
        <w:rPr>
          <w:rFonts w:cs="Times New Roman"/>
          <w:szCs w:val="32"/>
        </w:rPr>
        <w:t>Token</w:t>
      </w:r>
      <w:r>
        <w:rPr>
          <w:rFonts w:hint="eastAsia" w:ascii="方正仿宋_GBK" w:hAnsi="方正仿宋_GBK" w:cs="方正仿宋_GBK"/>
          <w:szCs w:val="32"/>
        </w:rPr>
        <w:t>资源可管、可控、可优化，能够匹配制造业生产数据安全、场景分级优先级、成本精细化管控的核心诉求。</w:t>
      </w:r>
    </w:p>
    <w:p w14:paraId="2DFAE956">
      <w:pPr>
        <w:ind w:firstLine="643"/>
        <w:rPr>
          <w:rFonts w:cs="Times New Roman"/>
          <w:szCs w:val="32"/>
        </w:rPr>
      </w:pPr>
      <w:r>
        <w:rPr>
          <w:rFonts w:hint="eastAsia" w:ascii="方正仿宋_GBK" w:hAnsi="方正仿宋_GBK" w:cs="方正仿宋_GBK"/>
          <w:b/>
          <w:bCs/>
          <w:szCs w:val="32"/>
        </w:rPr>
        <w:t>具体来看，</w:t>
      </w:r>
      <w:r>
        <w:rPr>
          <w:rFonts w:ascii="方正仿宋_GBK" w:hAnsi="方正仿宋_GBK" w:cs="方正仿宋_GBK"/>
          <w:b/>
          <w:bCs/>
          <w:szCs w:val="32"/>
        </w:rPr>
        <w:t>在公有云</w:t>
      </w:r>
      <w:r>
        <w:rPr>
          <w:rFonts w:cs="Times New Roman"/>
          <w:b/>
          <w:bCs/>
          <w:szCs w:val="32"/>
        </w:rPr>
        <w:t>API</w:t>
      </w:r>
      <w:r>
        <w:rPr>
          <w:rFonts w:ascii="方正仿宋_GBK" w:hAnsi="方正仿宋_GBK" w:cs="方正仿宋_GBK"/>
          <w:b/>
          <w:bCs/>
          <w:szCs w:val="32"/>
        </w:rPr>
        <w:t>模式下</w:t>
      </w:r>
      <w:r>
        <w:rPr>
          <w:rFonts w:ascii="方正仿宋_GBK" w:hAnsi="方正仿宋_GBK" w:cs="方正仿宋_GBK"/>
          <w:szCs w:val="32"/>
        </w:rPr>
        <w:t>，应秉持“数据脱敏、场景分级、小步快跑”原则，将公有云作为非敏感业务的提效工具</w:t>
      </w:r>
      <w:r>
        <w:rPr>
          <w:rFonts w:hint="eastAsia" w:ascii="方正仿宋_GBK" w:hAnsi="方正仿宋_GBK" w:cs="方正仿宋_GBK"/>
          <w:szCs w:val="32"/>
        </w:rPr>
        <w:t>。</w:t>
      </w:r>
      <w:r>
        <w:rPr>
          <w:rFonts w:hint="eastAsia" w:ascii="方正仿宋_GBK" w:hAnsi="方正仿宋_GBK" w:cs="方正仿宋_GBK"/>
          <w:b/>
          <w:bCs/>
          <w:szCs w:val="32"/>
        </w:rPr>
        <w:t>模型选型</w:t>
      </w:r>
      <w:r>
        <w:rPr>
          <w:rFonts w:hint="eastAsia" w:ascii="方正仿宋_GBK" w:hAnsi="方正仿宋_GBK" w:cs="方正仿宋_GBK"/>
          <w:szCs w:val="32"/>
        </w:rPr>
        <w:t>应进行如下维度考量：一是保障数据安全与合规隔离。公有云</w:t>
      </w:r>
      <w:r>
        <w:rPr>
          <w:rFonts w:cs="Times New Roman"/>
          <w:szCs w:val="32"/>
        </w:rPr>
        <w:t>API模</w:t>
      </w:r>
      <w:r>
        <w:rPr>
          <w:rFonts w:hint="eastAsia" w:ascii="方正仿宋_GBK" w:hAnsi="方正仿宋_GBK" w:cs="方正仿宋_GBK"/>
          <w:szCs w:val="32"/>
        </w:rPr>
        <w:t>式下，数据必须经过公网传输，存在不可控的数据痕迹与泄露风险。因此，在选型时必须评估服务商的合规资质，并建立严格的数据脱敏机制，确保核心商业机密不出域。二是关注成本结构与隐性消耗。在高频并发或长上下文场景下，</w:t>
      </w:r>
      <w:r>
        <w:rPr>
          <w:rFonts w:cs="Times New Roman"/>
          <w:szCs w:val="32"/>
        </w:rPr>
        <w:t>API费</w:t>
      </w:r>
      <w:r>
        <w:rPr>
          <w:rFonts w:hint="eastAsia" w:ascii="方正仿宋_GBK" w:hAnsi="方正仿宋_GBK" w:cs="方正仿宋_GBK"/>
          <w:szCs w:val="32"/>
        </w:rPr>
        <w:t>用会随业务量线性增长，长期总拥有成本可能反超私有化方案。选型时需关注单次调用成本、上下文长度限制以及失败重试机制带来的隐</w:t>
      </w:r>
      <w:r>
        <w:rPr>
          <w:rFonts w:cs="Times New Roman"/>
          <w:szCs w:val="32"/>
        </w:rPr>
        <w:t>性Token消耗。</w:t>
      </w:r>
      <w:r>
        <w:rPr>
          <w:rFonts w:hint="eastAsia" w:cs="Times New Roman"/>
          <w:szCs w:val="32"/>
        </w:rPr>
        <w:t>三是关注系统集成与实时性要求。公有云方案受制于网络传输和接口安全策略，存在往返延迟，难以保证毫秒级的实时响应。同时，需评估API接口与企业现有系统的对接能力，确保能打通数据断点。四是关注业务场景匹配度。对于简单的FAQ机器人</w:t>
      </w:r>
      <w:r>
        <w:rPr>
          <w:rFonts w:hint="eastAsia" w:cs="Times New Roman"/>
          <w:szCs w:val="32"/>
          <w:vertAlign w:val="superscript"/>
        </w:rPr>
        <w:t>15</w:t>
      </w:r>
      <w:r>
        <w:rPr>
          <w:rFonts w:hint="eastAsia" w:cs="Times New Roman"/>
          <w:szCs w:val="32"/>
        </w:rPr>
        <w:t>或常规参数查询，使用顶级模型属于资源浪费；而对于复杂的工艺优化、多参数联合调优，则需要推理能力更强的模型。因此，对于非敏感/通用场景，可选用公有云API，需提前完成业务数据脱敏处理，推荐选用成本效率较高、中文理解能力强的模型。在正式接入前，针对核心业务场景设计10—20个典型测试用例，从准确性、响应速度、幻觉率三个维度对候选模型进行打分评估。</w:t>
      </w:r>
    </w:p>
    <w:p w14:paraId="10360C54">
      <w:pPr>
        <w:ind w:firstLine="643"/>
        <w:rPr>
          <w:rFonts w:hint="eastAsia" w:ascii="方正仿宋_GBK" w:hAnsi="方正仿宋_GBK" w:cs="方正仿宋_GBK"/>
          <w:szCs w:val="32"/>
        </w:rPr>
      </w:pPr>
      <w:r>
        <w:rPr>
          <w:rFonts w:hint="eastAsia" w:cs="Times New Roman"/>
          <w:b/>
          <w:bCs/>
          <w:szCs w:val="32"/>
        </w:rPr>
        <w:t>模型部署</w:t>
      </w:r>
      <w:r>
        <w:rPr>
          <w:rFonts w:hint="eastAsia" w:cs="Times New Roman"/>
          <w:szCs w:val="32"/>
        </w:rPr>
        <w:t>路径推荐如下：一是前置数据预处理与脱敏。在将数据发送至云端API前，必须部署文本预处理工具。将长篇工艺台账、规范文档拆分为碎片化摘要与结构化表格，禁止原始全文上传。同时，设置严格的数据脱敏模板，对订单号、客户名称等敏感字段进行匿名化处理。二是选用轻量化模型与缓存机制。针对图像、音频等多模态数据，预设压缩规则，选用面向工业数据分析的轻量化大模型以降低Token消耗。对于固定的系统提示词或高频重复的查询，利用上下文缓存机制，避免重复计费。三是小范围灰度试点验证。遵循“业务价值高、技术难度低、风险小”的原则，优先选择内部文档处理、常规智能客服等场景进行为期1~2周的POC试点</w:t>
      </w:r>
      <w:r>
        <w:rPr>
          <w:rFonts w:hint="eastAsia" w:cs="Times New Roman"/>
          <w:szCs w:val="32"/>
          <w:vertAlign w:val="superscript"/>
        </w:rPr>
        <w:t>16</w:t>
      </w:r>
      <w:r>
        <w:rPr>
          <w:rFonts w:hint="eastAsia" w:cs="Times New Roman"/>
          <w:szCs w:val="32"/>
        </w:rPr>
        <w:t>。邀请一线业务人员试用，收集反馈并优化交互逻辑后，再逐步推广至其他核心业务辅助场景。四是构建统一网关与监控审计。通过企业API网关实现流量路由和数据过滤，统一管理云端API的调用。建立全链路监控指标体系，实时追踪响应时间、吞吐量、错误率及Token消耗流向，确保异常调用能被及时发现与熔断。</w:t>
      </w:r>
    </w:p>
    <w:p w14:paraId="47301B3E">
      <w:pPr>
        <w:ind w:firstLine="643"/>
        <w:rPr>
          <w:rFonts w:hint="eastAsia" w:ascii="方正仿宋_GBK" w:hAnsi="方正仿宋_GBK" w:cs="方正仿宋_GBK"/>
          <w:szCs w:val="32"/>
        </w:rPr>
      </w:pPr>
      <w:r>
        <w:rPr>
          <w:rFonts w:ascii="方正仿宋_GBK" w:hAnsi="方正仿宋_GBK" w:cs="方正仿宋_GBK"/>
          <w:b/>
          <w:bCs/>
          <w:szCs w:val="32"/>
        </w:rPr>
        <w:t>在</w:t>
      </w:r>
      <w:r>
        <w:rPr>
          <w:rFonts w:hint="eastAsia" w:ascii="方正仿宋_GBK" w:hAnsi="方正仿宋_GBK" w:cs="方正仿宋_GBK"/>
          <w:b/>
          <w:bCs/>
          <w:szCs w:val="32"/>
        </w:rPr>
        <w:t>本地部署</w:t>
      </w:r>
      <w:r>
        <w:rPr>
          <w:rFonts w:ascii="方正仿宋_GBK" w:hAnsi="方正仿宋_GBK" w:cs="方正仿宋_GBK"/>
          <w:b/>
          <w:bCs/>
          <w:szCs w:val="32"/>
        </w:rPr>
        <w:t>模式下</w:t>
      </w:r>
      <w:r>
        <w:rPr>
          <w:rFonts w:ascii="方正仿宋_GBK" w:hAnsi="方正仿宋_GBK" w:cs="方正仿宋_GBK"/>
          <w:szCs w:val="32"/>
        </w:rPr>
        <w:t>，应秉持“数据不出域、硬件工业级、模型轻量化、业务可量化”的原则，</w:t>
      </w:r>
      <w:r>
        <w:rPr>
          <w:rFonts w:hint="eastAsia" w:ascii="方正仿宋_GBK" w:hAnsi="方正仿宋_GBK" w:cs="方正仿宋_GBK"/>
          <w:b/>
          <w:bCs/>
          <w:szCs w:val="32"/>
        </w:rPr>
        <w:t>模型选型</w:t>
      </w:r>
      <w:r>
        <w:rPr>
          <w:rFonts w:hint="eastAsia" w:ascii="方正仿宋_GBK" w:hAnsi="方正仿宋_GBK" w:cs="方正仿宋_GBK"/>
          <w:szCs w:val="32"/>
        </w:rPr>
        <w:t>应进行如下维度考量：一是数据安全与合规底线</w:t>
      </w:r>
      <w:r>
        <w:rPr>
          <w:rFonts w:hint="eastAsia" w:ascii="方正仿宋_GBK" w:hAnsi="方正仿宋_GBK" w:cs="方正仿宋_GBK"/>
          <w:b/>
          <w:bCs/>
          <w:szCs w:val="32"/>
        </w:rPr>
        <w:t>。</w:t>
      </w:r>
      <w:r>
        <w:rPr>
          <w:rFonts w:hint="eastAsia" w:ascii="方正仿宋_GBK" w:hAnsi="方正仿宋_GBK" w:cs="方正仿宋_GBK"/>
          <w:szCs w:val="32"/>
        </w:rPr>
        <w:t>本地部署的首要考量是实现数据物理隔离，确保数据全程不出内网，满足工业控制系统信息安全防护等合规要求。二是场景匹配度与模型轻量化、领域定制化选型。车间生产等工业场景对推理实时性要求极高，且边缘端、本地部署设备算力资源有限，模型选型不应盲目追求超大参数通用大模型，而应优先遴选轻量化、</w:t>
      </w:r>
      <w:r>
        <w:rPr>
          <w:rFonts w:cs="Times New Roman"/>
          <w:szCs w:val="32"/>
        </w:rPr>
        <w:t>支持INT8/INT4</w:t>
      </w:r>
      <w:r>
        <w:rPr>
          <w:rFonts w:hint="eastAsia" w:cs="Times New Roman"/>
          <w:szCs w:val="32"/>
          <w:vertAlign w:val="superscript"/>
        </w:rPr>
        <w:t>17</w:t>
      </w:r>
      <w:r>
        <w:rPr>
          <w:rFonts w:cs="Times New Roman"/>
          <w:szCs w:val="32"/>
        </w:rPr>
        <w:t>低精度量化的模型架构，有效适配边缘算力约束，实现低延迟、高能效的实时推理，满足工业生产在线质检、设备运维、故障诊断等高频实时业务需求。在此基础上，企业需摒弃通用模型泛化推理的固有模式，立足工业业务特征选用垂直领域专用小模型并开展专属微调训练。工业领域专用小模型结构精简、任务针对性强，企业可基于自有数据开展定向微调训练，让模型深度适配本企业生产场景逻辑与业务特征。相较于通用大模型，定制化领域小模型能够大幅降低冗余输入输出Token生成量，减少无效算力与显存占用，在保障工业推理精度的同</w:t>
      </w:r>
      <w:r>
        <w:rPr>
          <w:rFonts w:hint="eastAsia" w:ascii="方正仿宋_GBK" w:hAnsi="方正仿宋_GBK" w:cs="方正仿宋_GBK"/>
          <w:szCs w:val="32"/>
        </w:rPr>
        <w:t>时，显著提升边缘端与本地算力资源的利用效能，适配制造业轻量化、高实时、高精准的推理应用需求。三是系统集成与业务价值导向。本地部署不能仅停留在“问答</w:t>
      </w:r>
      <w:r>
        <w:rPr>
          <w:rFonts w:cs="Times New Roman"/>
          <w:szCs w:val="32"/>
        </w:rPr>
        <w:t>Demo</w:t>
      </w:r>
      <w:r>
        <w:rPr>
          <w:rFonts w:hint="eastAsia" w:ascii="方正仿宋_GBK" w:hAnsi="方正仿宋_GBK" w:cs="方正仿宋_GBK"/>
          <w:szCs w:val="32"/>
        </w:rPr>
        <w:t>”阶段，必须能够与现有的</w:t>
      </w:r>
      <w:r>
        <w:rPr>
          <w:rFonts w:cs="Times New Roman"/>
          <w:szCs w:val="32"/>
        </w:rPr>
        <w:t>ERP、MES</w:t>
      </w:r>
      <w:r>
        <w:rPr>
          <w:rFonts w:hint="eastAsia" w:ascii="方正仿宋_GBK" w:hAnsi="方正仿宋_GBK" w:cs="方正仿宋_GBK"/>
          <w:szCs w:val="32"/>
        </w:rPr>
        <w:t>等系统打通，解决数据孤岛问题。同时，每一次模型迭代都需对应可量化的业务指标。</w:t>
      </w:r>
    </w:p>
    <w:p w14:paraId="1FAC841E">
      <w:pPr>
        <w:numPr>
          <w:ilvl w:val="255"/>
          <w:numId w:val="0"/>
        </w:numPr>
        <w:ind w:firstLine="640" w:firstLineChars="200"/>
        <w:rPr>
          <w:rFonts w:cs="Times New Roman"/>
          <w:szCs w:val="32"/>
        </w:rPr>
      </w:pPr>
      <w:r>
        <w:rPr>
          <w:rFonts w:hint="eastAsia" w:cs="Times New Roman"/>
          <w:b/>
          <w:bCs/>
          <w:szCs w:val="32"/>
        </w:rPr>
        <w:t>模型部署</w:t>
      </w:r>
      <w:r>
        <w:rPr>
          <w:rFonts w:hint="eastAsia" w:cs="Times New Roman"/>
          <w:szCs w:val="32"/>
        </w:rPr>
        <w:t>路径推荐如下：一是容器化离线一键部署。针对工业内网机器系统封闭、禁止随意安装依赖的问题，全面采用Docker容器化</w:t>
      </w:r>
      <w:r>
        <w:rPr>
          <w:rFonts w:hint="eastAsia" w:cs="Times New Roman"/>
          <w:szCs w:val="32"/>
          <w:vertAlign w:val="superscript"/>
        </w:rPr>
        <w:t>18</w:t>
      </w:r>
      <w:r>
        <w:rPr>
          <w:rFonts w:hint="eastAsia" w:cs="Times New Roman"/>
          <w:szCs w:val="32"/>
        </w:rPr>
        <w:t>部署。实现环境隔离、离线镜像打包、开机自启与异常自动重启，规避网络限制与环境冲突。二是构建企业级RAG</w:t>
      </w:r>
      <w:r>
        <w:rPr>
          <w:rFonts w:hint="eastAsia" w:cs="Times New Roman"/>
          <w:szCs w:val="32"/>
          <w:vertAlign w:val="superscript"/>
        </w:rPr>
        <w:t>19</w:t>
      </w:r>
      <w:r>
        <w:rPr>
          <w:rFonts w:hint="eastAsia" w:cs="Times New Roman"/>
          <w:szCs w:val="32"/>
        </w:rPr>
        <w:t>。在部署模型前，优先搭建高质量的知识库。将工艺文档、故障案例进行结构化拆分与元数据标注，结合矢量数据库实现实时检索。通过RAG技术注入行业知识，解决通用大模型在工业领域的“幻觉”问题。三是边云协同与灰度发布。采用“边缘端实时推理+云端大规模训练/协同”的混合架构，兼顾实时性与算力扩展性。采用A/B测试或蓝绿部署进行模型更新，新旧模型并行运行验证准确率、Token消耗稳定性后再全量切换，避免全量切换导致的生产扰动风险。与此同时，试点阶段需严格划定应用红线，明确工业现场不可直接依托模型开展高风险、强决策类业务，如设备核心参数自动调校、生产工艺自主修正、故障紧急停机决策、质量判定终审、安全风险处置等关键生产动作，杜绝模型幻觉、推理偏差引发的生产质量隐患与安全生产风险。四是工业控制权责边界管控。工业生产流程具备高安全、高确定性要求，需严格划分生成式大模型与底层控制系统的权责边界。生成式模型仅承担工艺知识问答、故障辅助分析、方案推演等辅助研判类工作，不输出可直接执行的设备操控指令；所有设备参数调整、机组启停、工艺闭环控制、安全联锁处置等操作，均由经过长期现场验证的确定性控制系统独立执行。通过分层隔离机制阻断模型幻觉、随机输出向生产控制链路传导，从部署架构层面规避智能模型带来的安全生产隐患。</w:t>
      </w:r>
    </w:p>
    <w:p w14:paraId="0D648FC1">
      <w:pPr>
        <w:pStyle w:val="4"/>
        <w:ind w:firstLine="643" w:firstLineChars="0"/>
      </w:pPr>
      <w:bookmarkStart w:id="42" w:name="_Toc794"/>
      <w:bookmarkStart w:id="43" w:name="_Toc17351"/>
      <w:r>
        <w:rPr>
          <w:rFonts w:hint="eastAsia"/>
        </w:rPr>
        <w:t>3.模型路由配置</w:t>
      </w:r>
      <w:bookmarkEnd w:id="42"/>
      <w:bookmarkEnd w:id="43"/>
    </w:p>
    <w:p w14:paraId="17AF6C61">
      <w:pPr>
        <w:ind w:firstLine="640"/>
        <w:rPr>
          <w:rFonts w:hint="eastAsia" w:ascii="方正仿宋_GBK" w:hAnsi="方正仿宋_GBK" w:cs="方正仿宋_GBK"/>
          <w:szCs w:val="32"/>
        </w:rPr>
      </w:pPr>
      <w:r>
        <w:rPr>
          <w:rFonts w:ascii="方正仿宋_GBK" w:hAnsi="方正仿宋_GBK" w:cs="方正仿宋_GBK"/>
          <w:szCs w:val="32"/>
        </w:rPr>
        <w:t>模型路由配置是基于智能模型路由引擎落地全量调度规则，打通业务请求与模型资源的适配链路，实现算力资源的精准分发与动态最优匹配，为资源效能提升、成本精细化管控与业务连续性保障提供规则底座。</w:t>
      </w:r>
    </w:p>
    <w:p w14:paraId="711C48E7">
      <w:pPr>
        <w:ind w:firstLine="643"/>
        <w:rPr>
          <w:rFonts w:hint="eastAsia" w:ascii="方正仿宋_GBK" w:hAnsi="方正仿宋_GBK" w:cs="方正仿宋_GBK"/>
          <w:szCs w:val="32"/>
        </w:rPr>
      </w:pPr>
      <w:r>
        <w:rPr>
          <w:rFonts w:ascii="方正仿宋_GBK" w:hAnsi="方正仿宋_GBK" w:cs="方正仿宋_GBK"/>
          <w:b/>
          <w:bCs/>
          <w:szCs w:val="32"/>
        </w:rPr>
        <w:t>模型路由配置应坚持四大原则</w:t>
      </w:r>
      <w:r>
        <w:rPr>
          <w:rFonts w:ascii="方正仿宋_GBK" w:hAnsi="方正仿宋_GBK" w:cs="方正仿宋_GBK"/>
          <w:szCs w:val="32"/>
        </w:rPr>
        <w:t>：一是安全边界刚性原则，调度规则严守数据安全等级与部署网络边界，安全约束一票否决所有非合规调度路径；二是业务分级保障原则，提前完成</w:t>
      </w:r>
      <w:r>
        <w:rPr>
          <w:rFonts w:hint="eastAsia" w:ascii="方正仿宋_GBK" w:hAnsi="方正仿宋_GBK" w:cs="方正仿宋_GBK"/>
          <w:szCs w:val="32"/>
        </w:rPr>
        <w:t>重点</w:t>
      </w:r>
      <w:r>
        <w:rPr>
          <w:rFonts w:ascii="方正仿宋_GBK" w:hAnsi="方正仿宋_GBK" w:cs="方正仿宋_GBK"/>
          <w:szCs w:val="32"/>
        </w:rPr>
        <w:t>业务任务分级定义，按照任务风险等级、业务价值、实时性要求划分调度优先级与算力资源权重，算力资源向核心生产、高优先级复杂任务倾斜，杜绝无差别均分算力造成的资源错配；三是能力精准适配原则，围绕任务分级结果、任务范式、模态类型、请求复杂度多维度匹配模型算力与推理能力，按需精准调度对应规格模型，避免高算力模型处理简单任务、轻量化模型承载复杂研判任务的错配问题；四是成本效能兼顾原则，建立成本优化与容灾兜底联动机制，在合规前提下优先低成本调度路径，实现降本增效与业务连续双向保障。</w:t>
      </w:r>
    </w:p>
    <w:p w14:paraId="0986DAB1">
      <w:pPr>
        <w:ind w:firstLine="643"/>
        <w:rPr>
          <w:rFonts w:hint="eastAsia" w:ascii="方正仿宋_GBK" w:hAnsi="方正仿宋_GBK" w:cs="方正仿宋_GBK"/>
          <w:szCs w:val="32"/>
        </w:rPr>
      </w:pPr>
      <w:r>
        <w:rPr>
          <w:rFonts w:hint="eastAsia" w:ascii="方正仿宋_GBK" w:hAnsi="方正仿宋_GBK" w:cs="方正仿宋_GBK"/>
          <w:b/>
          <w:bCs/>
          <w:szCs w:val="32"/>
        </w:rPr>
        <w:t>具体来看，</w:t>
      </w:r>
      <w:r>
        <w:rPr>
          <w:rFonts w:ascii="方正仿宋_GBK" w:hAnsi="方正仿宋_GBK" w:cs="方正仿宋_GBK"/>
          <w:b/>
          <w:bCs/>
          <w:szCs w:val="32"/>
        </w:rPr>
        <w:t>在公有云</w:t>
      </w:r>
      <w:r>
        <w:rPr>
          <w:rFonts w:cs="Times New Roman"/>
          <w:b/>
          <w:bCs/>
          <w:szCs w:val="32"/>
        </w:rPr>
        <w:t>API</w:t>
      </w:r>
      <w:r>
        <w:rPr>
          <w:rFonts w:ascii="方正仿宋_GBK" w:hAnsi="方正仿宋_GBK" w:cs="方正仿宋_GBK"/>
          <w:b/>
          <w:bCs/>
          <w:szCs w:val="32"/>
        </w:rPr>
        <w:t>模式下</w:t>
      </w:r>
      <w:r>
        <w:rPr>
          <w:rFonts w:ascii="方正仿宋_GBK" w:hAnsi="方正仿宋_GBK" w:cs="方正仿宋_GBK"/>
          <w:szCs w:val="32"/>
        </w:rPr>
        <w:t>，模型路由配置以请求级特征标签与全链路调度日志为基础，推荐采用“统一网关入口+路由规则引擎”管控方案。各业务应用统一接入企业</w:t>
      </w:r>
      <w:r>
        <w:rPr>
          <w:rFonts w:cs="Times New Roman"/>
          <w:szCs w:val="32"/>
        </w:rPr>
        <w:t>AI</w:t>
      </w:r>
      <w:r>
        <w:rPr>
          <w:rFonts w:ascii="方正仿宋_GBK" w:hAnsi="方正仿宋_GBK" w:cs="方正仿宋_GBK"/>
          <w:szCs w:val="32"/>
        </w:rPr>
        <w:t>调度网关，携带场景等级、任务范式、数据属性等标准化标识发起请求，不直接对接各厂商公有云模型</w:t>
      </w:r>
      <w:r>
        <w:rPr>
          <w:rFonts w:cs="Times New Roman"/>
          <w:szCs w:val="32"/>
        </w:rPr>
        <w:t>API</w:t>
      </w:r>
      <w:r>
        <w:rPr>
          <w:rFonts w:ascii="方正仿宋_GBK" w:hAnsi="方正仿宋_GBK" w:cs="方正仿宋_GBK"/>
          <w:szCs w:val="32"/>
        </w:rPr>
        <w:t>；真实云服务</w:t>
      </w:r>
      <w:r>
        <w:rPr>
          <w:rFonts w:cs="Times New Roman"/>
          <w:szCs w:val="32"/>
        </w:rPr>
        <w:t>API</w:t>
      </w:r>
      <w:r>
        <w:rPr>
          <w:rFonts w:ascii="方正仿宋_GBK" w:hAnsi="方正仿宋_GBK" w:cs="方正仿宋_GBK"/>
          <w:szCs w:val="32"/>
        </w:rPr>
        <w:t>密钥统一收纳至密钥安全仓库集中托管，由路由引擎内部完成业务标识与目标模型的映射分发。</w:t>
      </w:r>
      <w:r>
        <w:rPr>
          <w:rFonts w:hint="eastAsia" w:ascii="方正仿宋_GBK" w:hAnsi="方正仿宋_GBK" w:cs="方正仿宋_GBK"/>
          <w:szCs w:val="32"/>
        </w:rPr>
        <w:t>在路由引擎规则设定上，一方面，实施基于任务分级与意图识别的精准模型调度，依托预定义的任务分级标准识别请求复杂程度，自动匹配算力规格、参数量级适配的公有云模型，对核心生产类高等级任务预留专属调度通道，将核心链路、高频链路与辅助链路分级保障，实现算力资源与模型规格最优匹配；另一方面，执行基于成本控制与灰度发布的权重路由，通过按比例分流机制分散单一供应商的服务压力，并将批量摘要、分类等低复杂度任务自动路由至轻量级模型，避免资源浪费。同时，建立基于高可用性与容灾兜底机制，配置多级降级策略，在主模型出现超时或限流时自动无缝切换至备用服务，同时遵循谨慎降级原则以保障高风险任务的业务连续性。</w:t>
      </w:r>
    </w:p>
    <w:p w14:paraId="7934F761">
      <w:pPr>
        <w:ind w:firstLine="643"/>
        <w:rPr>
          <w:rFonts w:cs="Times New Roman"/>
          <w:szCs w:val="27"/>
        </w:rPr>
      </w:pPr>
      <w:r>
        <w:rPr>
          <w:rFonts w:ascii="方正仿宋_GBK" w:hAnsi="方正仿宋_GBK" w:cs="方正仿宋_GBK"/>
          <w:b/>
          <w:bCs/>
          <w:szCs w:val="32"/>
        </w:rPr>
        <w:t>在本地化部署模式下</w:t>
      </w:r>
      <w:r>
        <w:rPr>
          <w:rFonts w:ascii="方正仿宋_GBK" w:hAnsi="方正仿宋_GBK" w:cs="方正仿宋_GBK"/>
          <w:szCs w:val="32"/>
        </w:rPr>
        <w:t>，企业</w:t>
      </w:r>
      <w:r>
        <w:rPr>
          <w:rFonts w:hint="eastAsia" w:ascii="方正仿宋_GBK" w:hAnsi="方正仿宋_GBK" w:cs="方正仿宋_GBK"/>
          <w:szCs w:val="32"/>
        </w:rPr>
        <w:t>可</w:t>
      </w:r>
      <w:r>
        <w:rPr>
          <w:rFonts w:ascii="方正仿宋_GBK" w:hAnsi="方正仿宋_GBK" w:cs="方正仿宋_GBK"/>
          <w:szCs w:val="32"/>
        </w:rPr>
        <w:t>实施基于数据敏感度与安全合规的边界路由，将高敏感数据的请求强制路由至本地私有化模型处理，确保数据物理隔离不出域，彻底规避合规风险</w:t>
      </w:r>
      <w:r>
        <w:rPr>
          <w:rFonts w:hint="eastAsia" w:ascii="方正仿宋_GBK" w:hAnsi="方正仿宋_GBK" w:cs="方正仿宋_GBK"/>
          <w:szCs w:val="32"/>
        </w:rPr>
        <w:t>；同时，</w:t>
      </w:r>
      <w:r>
        <w:rPr>
          <w:rFonts w:ascii="方正仿宋_GBK" w:hAnsi="方正仿宋_GBK" w:cs="方正仿宋_GBK"/>
          <w:szCs w:val="32"/>
        </w:rPr>
        <w:t>基于任务分级复杂度、算力资源池分区的精细化模型调度，依托预先划定的任务分级标准分流推理请求</w:t>
      </w:r>
      <w:r>
        <w:rPr>
          <w:rFonts w:hint="eastAsia" w:ascii="方正仿宋_GBK" w:hAnsi="方正仿宋_GBK" w:cs="方正仿宋_GBK"/>
          <w:szCs w:val="32"/>
        </w:rPr>
        <w:t>，</w:t>
      </w:r>
      <w:r>
        <w:rPr>
          <w:rFonts w:ascii="方正仿宋_GBK" w:hAnsi="方正仿宋_GBK" w:cs="方正仿宋_GBK"/>
          <w:szCs w:val="32"/>
        </w:rPr>
        <w:t>将低等级基础任务路由至轻量化小模型算力池，将高等级复杂推理任务路由至高阶大模型专属算力池，按任务难度匹配对应算力与模型规格，实现整体算力利用效能最大化。另外，依托容器调度平台与智能路由引擎，实时采集各模型实例的负载率、算力利用率、请求时延、错误率等运行指标，结合任务分级调度规则动态调配算力资源、切换对应规格主备模型实例、执行分级熔断降级。</w:t>
      </w:r>
    </w:p>
    <w:p w14:paraId="0C789762">
      <w:pPr>
        <w:pStyle w:val="4"/>
        <w:ind w:firstLine="643"/>
      </w:pPr>
      <w:bookmarkStart w:id="44" w:name="_Toc6326"/>
      <w:bookmarkStart w:id="45" w:name="_Toc32428"/>
      <w:r>
        <w:rPr>
          <w:rFonts w:hint="eastAsia"/>
        </w:rPr>
        <w:t>4.用量配额配置</w:t>
      </w:r>
      <w:bookmarkEnd w:id="44"/>
      <w:bookmarkEnd w:id="45"/>
    </w:p>
    <w:p w14:paraId="57DF79C0">
      <w:pPr>
        <w:ind w:firstLine="643" w:firstLineChars="0"/>
        <w:rPr>
          <w:rFonts w:hint="eastAsia" w:ascii="方正仿宋_GBK" w:hAnsi="方正仿宋_GBK" w:cs="方正仿宋_GBK"/>
          <w:szCs w:val="32"/>
        </w:rPr>
      </w:pPr>
      <w:r>
        <w:rPr>
          <w:rFonts w:hint="eastAsia" w:ascii="方正仿宋_GBK" w:hAnsi="方正仿宋_GBK" w:cs="方正仿宋_GBK"/>
          <w:szCs w:val="32"/>
        </w:rPr>
        <w:t>用量配额配置是依托配额规则配置引擎，以标准化量化指标体系为测算支撑，按场景、部门、项目、用户多维度差异化配置</w:t>
      </w:r>
      <w:r>
        <w:rPr>
          <w:rFonts w:cs="Times New Roman"/>
          <w:szCs w:val="32"/>
        </w:rPr>
        <w:t>Token</w:t>
      </w:r>
      <w:r>
        <w:rPr>
          <w:rFonts w:hint="eastAsia" w:ascii="方正仿宋_GBK" w:hAnsi="方正仿宋_GBK" w:cs="方正仿宋_GBK"/>
          <w:szCs w:val="32"/>
        </w:rPr>
        <w:t>使用额度与管控阈值，构建分级定额、刚性约束的事前额度管理体系，优先保障核心生产场景资源供给，严控无意义消耗，为</w:t>
      </w:r>
      <w:r>
        <w:rPr>
          <w:rFonts w:cs="Times New Roman"/>
          <w:szCs w:val="32"/>
        </w:rPr>
        <w:t>Token</w:t>
      </w:r>
      <w:r>
        <w:rPr>
          <w:rFonts w:hint="eastAsia" w:ascii="方正仿宋_GBK" w:hAnsi="方正仿宋_GBK" w:cs="方正仿宋_GBK"/>
          <w:szCs w:val="32"/>
        </w:rPr>
        <w:t>资源精准分配、成本刚性管控与全链路效能核算提供准入管控底座。</w:t>
      </w:r>
    </w:p>
    <w:p w14:paraId="2D061AEB">
      <w:pPr>
        <w:ind w:firstLine="643"/>
        <w:rPr>
          <w:rFonts w:hint="eastAsia" w:ascii="方正仿宋_GBK" w:hAnsi="方正仿宋_GBK" w:cs="方正仿宋_GBK"/>
          <w:szCs w:val="32"/>
        </w:rPr>
      </w:pPr>
      <w:r>
        <w:rPr>
          <w:rFonts w:hint="eastAsia" w:ascii="方正仿宋_GBK" w:hAnsi="方正仿宋_GBK" w:cs="方正仿宋_GBK"/>
          <w:b/>
          <w:bCs/>
          <w:szCs w:val="32"/>
        </w:rPr>
        <w:t>用量配额配置应坚持四大原则</w:t>
      </w:r>
      <w:r>
        <w:rPr>
          <w:rFonts w:hint="eastAsia" w:ascii="方正仿宋_GBK" w:hAnsi="方正仿宋_GBK" w:cs="方正仿宋_GBK"/>
          <w:szCs w:val="32"/>
        </w:rPr>
        <w:t>：一是分级保障导向，配额额度严格匹配场景价值等级，核心场景足额保障、普通场景限额管控，不得无差别平均划拨通用</w:t>
      </w:r>
      <w:r>
        <w:rPr>
          <w:rFonts w:cs="Times New Roman"/>
          <w:szCs w:val="32"/>
        </w:rPr>
        <w:t>Token</w:t>
      </w:r>
      <w:r>
        <w:rPr>
          <w:rFonts w:hint="eastAsia" w:ascii="方正仿宋_GBK" w:hAnsi="方正仿宋_GBK" w:cs="方正仿宋_GBK"/>
          <w:szCs w:val="32"/>
        </w:rPr>
        <w:t>额度；二是刚性阈值约束，设置提醒、预警、熔断三级使用率管控阈值，执行“无配额不接入”刚性规则，杜绝超额度、超范围无序消耗；三是效能联动迭代，建立配额与投入产出比、缓存命中率等效能指标的联动调优机制，动态核减低效场景冗余额度，实现资源投放与业务效益双向匹配；四是价值付费牵引，将</w:t>
      </w:r>
      <w:r>
        <w:rPr>
          <w:rFonts w:cs="Times New Roman"/>
          <w:szCs w:val="32"/>
        </w:rPr>
        <w:t>AI</w:t>
      </w:r>
      <w:r>
        <w:rPr>
          <w:rFonts w:hint="eastAsia" w:ascii="方正仿宋_GBK" w:hAnsi="方正仿宋_GBK" w:cs="方正仿宋_GBK"/>
          <w:szCs w:val="32"/>
        </w:rPr>
        <w:t>应用支出与实际业务成果直接挂钩，推动</w:t>
      </w:r>
      <w:r>
        <w:rPr>
          <w:rFonts w:cs="Times New Roman"/>
          <w:szCs w:val="32"/>
        </w:rPr>
        <w:t>AI</w:t>
      </w:r>
      <w:r>
        <w:rPr>
          <w:rFonts w:hint="eastAsia" w:ascii="方正仿宋_GBK" w:hAnsi="方正仿宋_GBK" w:cs="方正仿宋_GBK"/>
          <w:szCs w:val="32"/>
        </w:rPr>
        <w:t>应用从“成本中心”向“价值中心”转变。</w:t>
      </w:r>
    </w:p>
    <w:p w14:paraId="31907A5D">
      <w:pPr>
        <w:ind w:firstLine="643"/>
        <w:rPr>
          <w:rFonts w:cs="Times New Roman"/>
          <w:szCs w:val="32"/>
        </w:rPr>
      </w:pPr>
      <w:r>
        <w:rPr>
          <w:rFonts w:hint="eastAsia" w:ascii="方正仿宋_GBK" w:hAnsi="方正仿宋_GBK" w:cs="方正仿宋_GBK"/>
          <w:b/>
          <w:bCs/>
          <w:szCs w:val="32"/>
        </w:rPr>
        <w:t>具体来看，在公有云</w:t>
      </w:r>
      <w:r>
        <w:rPr>
          <w:rFonts w:cs="Times New Roman"/>
          <w:b/>
          <w:bCs/>
          <w:szCs w:val="32"/>
        </w:rPr>
        <w:t>API</w:t>
      </w:r>
      <w:r>
        <w:rPr>
          <w:rFonts w:hint="eastAsia" w:ascii="方正仿宋_GBK" w:hAnsi="方正仿宋_GBK" w:cs="方正仿宋_GBK"/>
          <w:b/>
          <w:bCs/>
          <w:szCs w:val="32"/>
        </w:rPr>
        <w:t>模式下</w:t>
      </w:r>
      <w:r>
        <w:rPr>
          <w:rFonts w:hint="eastAsia" w:ascii="方正仿宋_GBK" w:hAnsi="方正仿宋_GBK" w:cs="方正仿宋_GBK"/>
          <w:szCs w:val="32"/>
        </w:rPr>
        <w:t>，预算配额包含两种主流计费口径。一是按</w:t>
      </w:r>
      <w:r>
        <w:rPr>
          <w:rFonts w:cs="Times New Roman"/>
          <w:szCs w:val="32"/>
        </w:rPr>
        <w:t>Token</w:t>
      </w:r>
      <w:r>
        <w:rPr>
          <w:rFonts w:hint="eastAsia" w:ascii="方正仿宋_GBK" w:hAnsi="方正仿宋_GBK" w:cs="方正仿宋_GBK"/>
          <w:szCs w:val="32"/>
        </w:rPr>
        <w:t>计费资源，主要包括大语言模型、向量模型、模型精调训练、知识库及智能体内置模型调用，按输入/输出</w:t>
      </w:r>
      <w:r>
        <w:rPr>
          <w:rFonts w:cs="Times New Roman"/>
          <w:szCs w:val="32"/>
        </w:rPr>
        <w:t>Token</w:t>
      </w:r>
      <w:r>
        <w:rPr>
          <w:rFonts w:hint="eastAsia" w:ascii="方正仿宋_GBK" w:hAnsi="方正仿宋_GBK" w:cs="方正仿宋_GBK"/>
          <w:szCs w:val="32"/>
        </w:rPr>
        <w:t>量分段计价且缓存命中单独折算；二是非</w:t>
      </w:r>
      <w:r>
        <w:rPr>
          <w:rFonts w:cs="Times New Roman"/>
          <w:szCs w:val="32"/>
        </w:rPr>
        <w:t>Token</w:t>
      </w:r>
      <w:r>
        <w:rPr>
          <w:rFonts w:hint="eastAsia" w:ascii="方正仿宋_GBK" w:hAnsi="方正仿宋_GBK" w:cs="方正仿宋_GBK"/>
          <w:szCs w:val="32"/>
        </w:rPr>
        <w:t>计费资源，需单独核算且不纳入</w:t>
      </w:r>
      <w:r>
        <w:rPr>
          <w:rFonts w:cs="Times New Roman"/>
          <w:szCs w:val="32"/>
        </w:rPr>
        <w:t>Token</w:t>
      </w:r>
      <w:r>
        <w:rPr>
          <w:rFonts w:hint="eastAsia" w:ascii="方正仿宋_GBK" w:hAnsi="方正仿宋_GBK" w:cs="方正仿宋_GBK"/>
          <w:szCs w:val="32"/>
        </w:rPr>
        <w:t>总量，包括按成功出图张数计费的图片生成、按产出视频个数计费的视频生成、按</w:t>
      </w:r>
      <w:r>
        <w:rPr>
          <w:rFonts w:cs="Times New Roman"/>
          <w:szCs w:val="32"/>
        </w:rPr>
        <w:t>3D</w:t>
      </w:r>
      <w:r>
        <w:rPr>
          <w:rFonts w:hint="eastAsia" w:ascii="方正仿宋_GBK" w:hAnsi="方正仿宋_GBK" w:cs="方正仿宋_GBK"/>
          <w:szCs w:val="32"/>
        </w:rPr>
        <w:t>文件产出格式计费的</w:t>
      </w:r>
      <w:r>
        <w:rPr>
          <w:rFonts w:cs="Times New Roman"/>
          <w:szCs w:val="32"/>
        </w:rPr>
        <w:t>3D</w:t>
      </w:r>
      <w:r>
        <w:rPr>
          <w:rFonts w:hint="eastAsia" w:ascii="方正仿宋_GBK" w:hAnsi="方正仿宋_GBK" w:cs="方正仿宋_GBK"/>
          <w:szCs w:val="32"/>
        </w:rPr>
        <w:t>模型、按</w:t>
      </w:r>
      <w:r>
        <w:rPr>
          <w:rFonts w:cs="Times New Roman"/>
          <w:szCs w:val="32"/>
        </w:rPr>
        <w:t>CU</w:t>
      </w:r>
      <w:r>
        <w:rPr>
          <w:rFonts w:hint="eastAsia" w:ascii="方正仿宋_GBK" w:hAnsi="方正仿宋_GBK" w:cs="方正仿宋_GBK"/>
          <w:szCs w:val="32"/>
        </w:rPr>
        <w:t>算力与存储小时计费的知识库、按机型×时长计费的专属推理单元、按小时计费的智能体运行沙箱、按调用千次计费的联网工具插件，测算时需单独归集此类资源成本并叠加至总预算。预算配额配置应坚持如下路径：一是建立多维度的配额层级体系，将配额向下拆解为“全局总配额－部门/业务线配额－用户/应用级配额”的三级管控架构，并针对不同业务场景实施差异化分配与错峰调度；二是实施动态配额与智能路由调度，根据历史调用质量对</w:t>
      </w:r>
      <w:r>
        <w:rPr>
          <w:rFonts w:cs="Times New Roman"/>
          <w:szCs w:val="32"/>
        </w:rPr>
        <w:t>Token配额进</w:t>
      </w:r>
      <w:r>
        <w:rPr>
          <w:rFonts w:hint="eastAsia" w:ascii="方正仿宋_GBK" w:hAnsi="方正仿宋_GBK" w:cs="方正仿宋_GBK"/>
          <w:szCs w:val="32"/>
        </w:rPr>
        <w:t>行信用评估与动态调整，同时结合智能路由策略将基础任务与复杂推理任务分别匹配低成本与高阶模型，从源头优化配额使用效率；三是建立实时配额监控与告警机制，</w:t>
      </w:r>
      <w:r>
        <w:rPr>
          <w:rFonts w:cs="Times New Roman"/>
          <w:szCs w:val="32"/>
        </w:rPr>
        <w:t>为API速率配</w:t>
      </w:r>
      <w:r>
        <w:rPr>
          <w:rFonts w:hint="eastAsia" w:ascii="方正仿宋_GBK" w:hAnsi="方正仿宋_GBK" w:cs="方正仿宋_GBK"/>
          <w:szCs w:val="32"/>
        </w:rPr>
        <w:t>额设定全局告警规则，当使用率达到预设阈值时自动向管理员发送告警通知，以便及时申请提升配额或调整业务策略。具体步骤如下所示。</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4"/>
      </w:tblGrid>
      <w:tr w14:paraId="0496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4" w:type="dxa"/>
          </w:tcPr>
          <w:p w14:paraId="19B35744">
            <w:pPr>
              <w:widowControl/>
              <w:spacing w:line="440" w:lineRule="exact"/>
              <w:ind w:firstLine="0" w:firstLineChars="0"/>
              <w:jc w:val="center"/>
              <w:rPr>
                <w:rFonts w:hint="default" w:ascii="Times New Roman" w:hAnsi="Times New Roman" w:eastAsia="方正黑体_GBK" w:cs="Times New Roman"/>
                <w:kern w:val="0"/>
                <w:sz w:val="28"/>
                <w:szCs w:val="28"/>
                <w:lang w:bidi="ar"/>
              </w:rPr>
            </w:pPr>
            <w:r>
              <w:rPr>
                <w:rFonts w:hint="default" w:ascii="Times New Roman" w:hAnsi="Times New Roman" w:eastAsia="方正黑体_GBK" w:cs="Times New Roman"/>
                <w:kern w:val="0"/>
                <w:sz w:val="28"/>
                <w:szCs w:val="28"/>
                <w:lang w:bidi="ar"/>
              </w:rPr>
              <w:t>示例：离散型重工业AI资源预算配额测算</w:t>
            </w:r>
          </w:p>
          <w:p w14:paraId="0A67B8A7">
            <w:pPr>
              <w:widowControl/>
              <w:spacing w:line="440" w:lineRule="exact"/>
              <w:ind w:firstLine="560"/>
              <w:rPr>
                <w:rFonts w:hint="default" w:ascii="Times New Roman" w:hAnsi="Times New Roman" w:cs="Times New Roman"/>
                <w:sz w:val="28"/>
                <w:szCs w:val="22"/>
              </w:rPr>
            </w:pPr>
            <w:r>
              <w:rPr>
                <w:rFonts w:hint="default" w:ascii="Times New Roman" w:hAnsi="Times New Roman" w:cs="Times New Roman"/>
                <w:kern w:val="0"/>
                <w:sz w:val="28"/>
                <w:szCs w:val="28"/>
                <w:lang w:bidi="ar"/>
              </w:rPr>
              <w:t>本示例以大型装备制造企业（离散型重工业典型代表）为测算主体，适配其设备运维、工艺仿真、大型零部件3D建模等核心场景，费用核算均参考火山引擎官方计费标准，按以上流程演示预算配额测算流程，为同类企业Token测算提供实操指导。</w:t>
            </w:r>
          </w:p>
          <w:p w14:paraId="20B34366">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本示例涉及的各项测算参数，均基于行业普遍经验与公开计费标准设定，核心选取依据如下：</w:t>
            </w:r>
          </w:p>
          <w:p w14:paraId="5EB6B942">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1.单次Token消耗参数：结合工业场景典型业务上下文体量确定。设备故障诊断场景匹配设备运行日志、传感器数据、故障案例等常规输入规模，3D建模、向量嵌入、模型精调等场景对应单任务常规消耗量级，均取同类型场景中位经验值。</w:t>
            </w:r>
          </w:p>
          <w:p w14:paraId="064B2D19">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2.业务调用频次参数：以中型装备制造企业常规业务体量为假设基准，对应研发、运维、生产等部门日常工作负荷下的预估调用规模，用于完成测算逻辑的闭环演示。</w:t>
            </w:r>
          </w:p>
          <w:p w14:paraId="3FAD3CDD">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3.效能优化参数：缓存命中率参照工业知识库问答场景行业普遍水平，按40%中位值测算，体现缓存机制对Token消耗的优化效应；弹性冗余额度参照企业IT预算编制常规预留比例，按12%设定。</w:t>
            </w:r>
          </w:p>
          <w:p w14:paraId="0529567E">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4.费用计价标准：参考主流云厂商对应AI服务公开定价的中间档位估算，非Token计费项目按行业常规服务档位取值。</w:t>
            </w:r>
          </w:p>
          <w:p w14:paraId="3AC05EDF">
            <w:pPr>
              <w:widowControl/>
              <w:spacing w:line="440" w:lineRule="exact"/>
              <w:ind w:firstLine="560"/>
              <w:rPr>
                <w:rFonts w:hint="default" w:ascii="Times New Roman" w:hAnsi="Times New Roman" w:cs="Times New Roman"/>
                <w:kern w:val="0"/>
                <w:sz w:val="28"/>
                <w:szCs w:val="28"/>
                <w:lang w:bidi="ar"/>
              </w:rPr>
            </w:pPr>
            <w:r>
              <w:rPr>
                <w:rFonts w:hint="default" w:ascii="Times New Roman" w:hAnsi="Times New Roman" w:cs="Times New Roman"/>
                <w:kern w:val="0"/>
                <w:sz w:val="28"/>
                <w:szCs w:val="28"/>
                <w:lang w:bidi="ar"/>
              </w:rPr>
              <w:t>本示例数值仅为演算参照，各企业实际编制预算时，需结合自身业务规模、应用场景深度、模型选型策略及试点运行数据校准参数，不得直接套用示例结果。</w:t>
            </w:r>
          </w:p>
          <w:p w14:paraId="68DB1A8C">
            <w:pPr>
              <w:widowControl/>
              <w:spacing w:line="440" w:lineRule="exact"/>
              <w:ind w:firstLine="562" w:firstLineChars="0"/>
              <w:rPr>
                <w:rFonts w:hint="default" w:ascii="Times New Roman" w:hAnsi="Times New Roman" w:cs="Times New Roman"/>
                <w:sz w:val="28"/>
                <w:szCs w:val="28"/>
              </w:rPr>
            </w:pPr>
            <w:r>
              <w:rPr>
                <w:rFonts w:hint="default" w:ascii="Times New Roman" w:hAnsi="Times New Roman" w:cs="Times New Roman"/>
                <w:b/>
                <w:bCs/>
                <w:sz w:val="28"/>
                <w:szCs w:val="28"/>
              </w:rPr>
              <w:t>步骤一：应用级用量分项测算</w:t>
            </w:r>
          </w:p>
          <w:p w14:paraId="439F4DCC">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按“应用单元拆分—单耗参数确认—调用频次估算—日均用量核算”的逻辑开展，将AI应用分为3类共8个单元，区分Token计费与非Token计费分别核算：</w:t>
            </w:r>
          </w:p>
          <w:p w14:paraId="0A338679">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1.业务场景类：设备故障智能诊断（大语言模型，按行业均值40%缓存命中率抵扣输入Token）、零部件3D建模（3D生成模型）、工艺文档智能解析（向量模型）。</w:t>
            </w:r>
          </w:p>
          <w:p w14:paraId="142DA2C0">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2.支撑服务类：知识库服务、智能体管理、工具插件、模型精调。</w:t>
            </w:r>
          </w:p>
          <w:p w14:paraId="2E1C89AA">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3.算力资源类：专属推理单元。</w:t>
            </w:r>
          </w:p>
          <w:p w14:paraId="6BBABF9D">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各核心单元测算结果（日均口径）：</w:t>
            </w:r>
          </w:p>
          <w:p w14:paraId="29D416F6">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设备故障智能诊断：约63万Token，费用1200~1500元。</w:t>
            </w:r>
          </w:p>
          <w:p w14:paraId="7B72E272">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零部件3D建模：约1500万Token，月度费用8000~10000元</w:t>
            </w:r>
          </w:p>
          <w:p w14:paraId="2E0A0456">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工艺文档智能解析：约17万Token，月度费用600~800元</w:t>
            </w:r>
          </w:p>
          <w:p w14:paraId="0CF15C75">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模型精调（LoRA）：约27万Token，月度费用2500~3000元</w:t>
            </w:r>
          </w:p>
          <w:p w14:paraId="63E88F83">
            <w:pPr>
              <w:widowControl/>
              <w:spacing w:line="440" w:lineRule="exact"/>
              <w:ind w:firstLine="560"/>
              <w:rPr>
                <w:rFonts w:hint="default" w:ascii="Times New Roman" w:hAnsi="Times New Roman" w:cs="Times New Roman"/>
                <w:sz w:val="28"/>
                <w:szCs w:val="28"/>
              </w:rPr>
            </w:pPr>
            <w:r>
              <w:rPr>
                <w:rFonts w:hint="default" w:ascii="Times New Roman" w:hAnsi="Times New Roman" w:cs="Times New Roman"/>
                <w:sz w:val="28"/>
                <w:szCs w:val="28"/>
              </w:rPr>
              <w:t>知识库、智能体管理、工具插件、专属推理单元为非Token计费，按月度固定/混合口径核算成本，不纳入Token总量统计。</w:t>
            </w:r>
          </w:p>
          <w:p w14:paraId="51010730">
            <w:pPr>
              <w:widowControl/>
              <w:spacing w:line="440" w:lineRule="exact"/>
              <w:ind w:firstLine="562" w:firstLineChars="0"/>
              <w:rPr>
                <w:rFonts w:hint="default" w:ascii="Times New Roman" w:hAnsi="Times New Roman" w:cs="Times New Roman"/>
                <w:sz w:val="28"/>
                <w:szCs w:val="28"/>
              </w:rPr>
            </w:pPr>
            <w:r>
              <w:rPr>
                <w:rFonts w:hint="default" w:ascii="Times New Roman" w:hAnsi="Times New Roman" w:cs="Times New Roman"/>
                <w:b/>
                <w:bCs/>
                <w:sz w:val="28"/>
                <w:szCs w:val="28"/>
              </w:rPr>
              <w:t>步骤二：部门级配额汇总</w:t>
            </w:r>
          </w:p>
          <w:p w14:paraId="1B18E523">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按企业组织架构将应用单元归口至对应部门，分类汇总Token用量并叠加专属费用，形成部门年度预算：</w:t>
            </w:r>
          </w:p>
          <w:p w14:paraId="4C4E4364">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1.研发部：归口3D建模、文档解析、模型精调，日均Token约1543万，年度Token约55.5亿，年度推理费用约5.6万元；无专属非Token费用，年度总预算约5.6万元。</w:t>
            </w:r>
          </w:p>
          <w:p w14:paraId="4AB416E5">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2.设备运维部：归口故障诊断、知识库、智能体管理，日均Token约63万，年度Token约2.3亿，年度推理费用约0.34万元；叠加知识库、智能体年度专属费用约3.3万元，年度总预算约3.6万元。</w:t>
            </w:r>
          </w:p>
          <w:p w14:paraId="1A06B5A5">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3.生产保障部：归口工具插件、专属推理单元，无Token消耗，年度专属费用约5.9万元，年度总预算约5.9万元。</w:t>
            </w:r>
          </w:p>
          <w:p w14:paraId="17527D9A">
            <w:pPr>
              <w:widowControl/>
              <w:spacing w:line="440" w:lineRule="exact"/>
              <w:ind w:firstLine="560"/>
              <w:rPr>
                <w:rFonts w:hint="default" w:ascii="Times New Roman" w:hAnsi="Times New Roman" w:cs="Times New Roman"/>
                <w:sz w:val="28"/>
                <w:szCs w:val="28"/>
              </w:rPr>
            </w:pPr>
            <w:r>
              <w:rPr>
                <w:rFonts w:hint="default" w:ascii="Times New Roman" w:hAnsi="Times New Roman" w:cs="Times New Roman"/>
                <w:sz w:val="28"/>
                <w:szCs w:val="28"/>
              </w:rPr>
              <w:t>全部门年度总Token约57.8亿，部门合计年度预算约15.1万元。</w:t>
            </w:r>
          </w:p>
          <w:p w14:paraId="43378FF1">
            <w:pPr>
              <w:widowControl/>
              <w:spacing w:line="440" w:lineRule="exact"/>
              <w:ind w:firstLine="562" w:firstLineChars="0"/>
              <w:rPr>
                <w:rFonts w:hint="default" w:ascii="Times New Roman" w:hAnsi="Times New Roman" w:cs="Times New Roman"/>
                <w:sz w:val="28"/>
                <w:szCs w:val="28"/>
              </w:rPr>
            </w:pPr>
            <w:r>
              <w:rPr>
                <w:rFonts w:hint="default" w:ascii="Times New Roman" w:hAnsi="Times New Roman" w:cs="Times New Roman"/>
                <w:b/>
                <w:bCs/>
                <w:sz w:val="28"/>
                <w:szCs w:val="28"/>
              </w:rPr>
              <w:t>步骤三：企业级总预算与全局配额核定</w:t>
            </w:r>
          </w:p>
          <w:p w14:paraId="681BC29C">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在部门预算基础上，叠加企业统筹费用与弹性冗余，核定全局核心指标：</w:t>
            </w:r>
          </w:p>
          <w:p w14:paraId="01F99F7D">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1.企业统筹专项费用：覆盖跨部门共享的知识库、智能体、算力底座等年度支出，合计约2万元。</w:t>
            </w:r>
          </w:p>
          <w:p w14:paraId="51D1F01D">
            <w:pPr>
              <w:widowControl/>
              <w:spacing w:line="440" w:lineRule="exact"/>
              <w:ind w:firstLine="560" w:firstLineChars="0"/>
              <w:rPr>
                <w:rFonts w:hint="default" w:ascii="Times New Roman" w:hAnsi="Times New Roman" w:cs="Times New Roman"/>
                <w:sz w:val="28"/>
                <w:szCs w:val="28"/>
              </w:rPr>
            </w:pPr>
            <w:r>
              <w:rPr>
                <w:rFonts w:hint="default" w:ascii="Times New Roman" w:hAnsi="Times New Roman" w:cs="Times New Roman"/>
                <w:sz w:val="28"/>
                <w:szCs w:val="28"/>
              </w:rPr>
              <w:t>2.弹性冗余额度：按“部门预算+专项费用”的12%预留，应对业务波动与临时需求，约2万元。</w:t>
            </w:r>
          </w:p>
          <w:p w14:paraId="6BDE935A">
            <w:pPr>
              <w:widowControl w:val="0"/>
              <w:spacing w:line="440" w:lineRule="exact"/>
              <w:ind w:firstLine="560" w:firstLineChars="0"/>
              <w:rPr>
                <w:rFonts w:hint="default" w:ascii="Times New Roman" w:hAnsi="Times New Roman" w:cs="Times New Roman"/>
              </w:rPr>
            </w:pPr>
            <w:r>
              <w:rPr>
                <w:rFonts w:hint="default" w:ascii="Times New Roman" w:hAnsi="Times New Roman" w:cs="Times New Roman"/>
                <w:sz w:val="28"/>
                <w:szCs w:val="28"/>
              </w:rPr>
              <w:t>3.全局核定结果：年度Token配额上限约57.8亿，年度AI资源总预算约19.1万元，最终形成企业级核定文件，明确全局Token配额上限及年度总预算，作为后续配额管控的核心依据。</w:t>
            </w:r>
          </w:p>
          <w:p w14:paraId="14C386F2">
            <w:pPr>
              <w:widowControl/>
              <w:spacing w:line="440" w:lineRule="exact"/>
              <w:ind w:firstLine="562"/>
              <w:rPr>
                <w:rFonts w:hint="default" w:ascii="Times New Roman" w:hAnsi="Times New Roman" w:cs="Times New Roman"/>
                <w:b/>
                <w:bCs/>
                <w:sz w:val="28"/>
                <w:szCs w:val="28"/>
              </w:rPr>
            </w:pPr>
            <w:r>
              <w:rPr>
                <w:rFonts w:hint="default" w:ascii="Times New Roman" w:hAnsi="Times New Roman" w:cs="Times New Roman"/>
                <w:b/>
                <w:bCs/>
                <w:sz w:val="28"/>
                <w:szCs w:val="28"/>
              </w:rPr>
              <w:t>步骤四：配额管控机制技术部署</w:t>
            </w:r>
          </w:p>
          <w:p w14:paraId="75E42A73">
            <w:pPr>
              <w:widowControl/>
              <w:spacing w:line="440" w:lineRule="exact"/>
              <w:ind w:firstLine="560"/>
              <w:rPr>
                <w:rFonts w:hint="default" w:ascii="Times New Roman" w:hAnsi="Times New Roman" w:cs="Times New Roman"/>
                <w:sz w:val="28"/>
                <w:szCs w:val="28"/>
              </w:rPr>
            </w:pPr>
            <w:r>
              <w:rPr>
                <w:rFonts w:hint="default" w:ascii="Times New Roman" w:hAnsi="Times New Roman" w:cs="Times New Roman"/>
                <w:sz w:val="28"/>
                <w:szCs w:val="28"/>
              </w:rPr>
              <w:t>基于核定的预算与配额，部署管控规则：一是配置分级阈值，明确各部门、各应用月度Token硬上限；非Token资源设定专属推理单元算力、知识库存储容量、3D生成次数等管控上限；二是执行刚性约束，落实“无配额不接入”规则，超配额请求自动拦截或路由至低消耗模型；三是搭建可视化监控体系，实时监控各层级配额使用情况，标记高成本低效应用；四是完善管控流程，明确配额调整、异常处置的责任主体与操作规范。</w:t>
            </w:r>
          </w:p>
          <w:p w14:paraId="32F47212">
            <w:pPr>
              <w:widowControl/>
              <w:spacing w:line="440" w:lineRule="exact"/>
              <w:ind w:firstLine="562"/>
              <w:rPr>
                <w:rFonts w:hint="default" w:ascii="Times New Roman" w:hAnsi="Times New Roman" w:cs="Times New Roman"/>
                <w:b/>
                <w:bCs/>
                <w:sz w:val="28"/>
                <w:szCs w:val="28"/>
              </w:rPr>
            </w:pPr>
            <w:r>
              <w:rPr>
                <w:rFonts w:hint="default" w:ascii="Times New Roman" w:hAnsi="Times New Roman" w:cs="Times New Roman"/>
                <w:b/>
                <w:bCs/>
                <w:sz w:val="28"/>
                <w:szCs w:val="28"/>
              </w:rPr>
              <w:t>步骤五：动态效能迭代优化闭环</w:t>
            </w:r>
          </w:p>
          <w:p w14:paraId="05CBCF31">
            <w:pPr>
              <w:widowControl/>
              <w:spacing w:line="440" w:lineRule="exact"/>
              <w:ind w:firstLine="560"/>
              <w:rPr>
                <w:rFonts w:hint="eastAsia" w:ascii="方正仿宋_GBK" w:hAnsi="方正仿宋_GBK" w:cs="方正仿宋_GBK"/>
                <w:kern w:val="0"/>
                <w:szCs w:val="32"/>
                <w:lang w:bidi="ar"/>
              </w:rPr>
            </w:pPr>
            <w:r>
              <w:rPr>
                <w:rFonts w:hint="default" w:ascii="Times New Roman" w:hAnsi="Times New Roman" w:cs="Times New Roman"/>
                <w:sz w:val="28"/>
                <w:szCs w:val="28"/>
              </w:rPr>
              <w:t>建立“月度评估—年度迭代”的优化机制：一是按月开展效能评估，联动设备故障诊断准确率、运维效率、研发周期缩短时长等核心指标，区分高效能与低效能场景；二是对设备故障诊断、3D建模等高ROI场景适度上浮配额，对使用率不足60%的低效应用核减冗余额度；三是每年结合装备升级、产线扩产，重新执行全流程测算，更新配额与预算；四是对比火山引擎多种计费方案，择优切换降低单位算力成本，提升AI资源投放效益。</w:t>
            </w:r>
          </w:p>
        </w:tc>
      </w:tr>
    </w:tbl>
    <w:p w14:paraId="1D3B5008">
      <w:pPr>
        <w:ind w:firstLine="643" w:firstLineChars="0"/>
        <w:rPr>
          <w:rFonts w:hint="eastAsia" w:ascii="方正仿宋_GBK" w:hAnsi="方正仿宋_GBK" w:cs="方正仿宋_GBK"/>
          <w:szCs w:val="32"/>
        </w:rPr>
      </w:pPr>
      <w:r>
        <w:rPr>
          <w:rFonts w:hint="eastAsia" w:ascii="方正仿宋_GBK" w:hAnsi="方正仿宋_GBK" w:cs="方正仿宋_GBK"/>
          <w:szCs w:val="32"/>
        </w:rPr>
        <w:t>在构建上述配额管理时，可以引入</w:t>
      </w:r>
      <w:r>
        <w:rPr>
          <w:rFonts w:cs="Times New Roman"/>
          <w:szCs w:val="32"/>
        </w:rPr>
        <w:t>LiteLLM、Quotio或Apache APISIX等开源代理网关工具，通过构建统一的本地API接入层，</w:t>
      </w:r>
      <w:r>
        <w:rPr>
          <w:rFonts w:hint="eastAsia" w:ascii="方正仿宋_GBK" w:hAnsi="方正仿宋_GBK" w:cs="方正仿宋_GBK"/>
          <w:szCs w:val="32"/>
        </w:rPr>
        <w:t>通过能够原生支持生产级的速率限制、请求缓存与全链路成本追踪，从而在技术底层保障多级配额架构的精准落地、硬性熔断机制的可靠触发以及动态路由策略的自动化执行，将原本黑盒的公有云调用转化为“可见、可归因、可控”的精细化运营体系。</w:t>
      </w:r>
    </w:p>
    <w:p w14:paraId="1647DC28">
      <w:pPr>
        <w:ind w:firstLine="0" w:firstLineChars="0"/>
        <w:jc w:val="center"/>
        <w:rPr>
          <w:rFonts w:hint="default" w:ascii="Times New Roman" w:hAnsi="Times New Roman" w:eastAsia="方正黑体_GBK" w:cs="Times New Roman"/>
          <w:szCs w:val="32"/>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5</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主要配额管理开源工具介绍</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375"/>
        <w:gridCol w:w="1534"/>
        <w:gridCol w:w="2603"/>
        <w:gridCol w:w="1686"/>
        <w:gridCol w:w="1771"/>
      </w:tblGrid>
      <w:tr w14:paraId="63B5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767" w:type="pct"/>
            <w:tcMar>
              <w:top w:w="75" w:type="dxa"/>
              <w:left w:w="0" w:type="dxa"/>
              <w:bottom w:w="75" w:type="dxa"/>
              <w:right w:w="120" w:type="dxa"/>
            </w:tcMar>
            <w:vAlign w:val="center"/>
          </w:tcPr>
          <w:p w14:paraId="44F548B2">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工具名称</w:t>
            </w:r>
          </w:p>
        </w:tc>
        <w:tc>
          <w:tcPr>
            <w:tcW w:w="855" w:type="pct"/>
            <w:tcMar>
              <w:top w:w="75" w:type="dxa"/>
              <w:left w:w="120" w:type="dxa"/>
              <w:bottom w:w="75" w:type="dxa"/>
              <w:right w:w="120" w:type="dxa"/>
            </w:tcMar>
            <w:vAlign w:val="center"/>
          </w:tcPr>
          <w:p w14:paraId="116DD68F">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功能定位</w:t>
            </w:r>
          </w:p>
        </w:tc>
        <w:tc>
          <w:tcPr>
            <w:tcW w:w="1451" w:type="pct"/>
            <w:tcMar>
              <w:top w:w="75" w:type="dxa"/>
              <w:left w:w="120" w:type="dxa"/>
              <w:bottom w:w="75" w:type="dxa"/>
              <w:right w:w="120" w:type="dxa"/>
            </w:tcMar>
            <w:vAlign w:val="center"/>
          </w:tcPr>
          <w:p w14:paraId="4669CC0D">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核心功能</w:t>
            </w:r>
          </w:p>
        </w:tc>
        <w:tc>
          <w:tcPr>
            <w:tcW w:w="940" w:type="pct"/>
            <w:tcMar>
              <w:top w:w="75" w:type="dxa"/>
              <w:left w:w="120" w:type="dxa"/>
              <w:bottom w:w="75" w:type="dxa"/>
              <w:right w:w="120" w:type="dxa"/>
            </w:tcMar>
            <w:vAlign w:val="center"/>
          </w:tcPr>
          <w:p w14:paraId="2978A48D">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优化原理</w:t>
            </w:r>
          </w:p>
        </w:tc>
        <w:tc>
          <w:tcPr>
            <w:tcW w:w="987" w:type="pct"/>
            <w:tcMar>
              <w:top w:w="75" w:type="dxa"/>
              <w:left w:w="120" w:type="dxa"/>
              <w:bottom w:w="75" w:type="dxa"/>
              <w:right w:w="120" w:type="dxa"/>
            </w:tcMar>
            <w:vAlign w:val="center"/>
          </w:tcPr>
          <w:p w14:paraId="0873E852">
            <w:pPr>
              <w:spacing w:line="320" w:lineRule="exact"/>
              <w:ind w:firstLine="0" w:firstLineChars="0"/>
              <w:jc w:val="center"/>
              <w:rPr>
                <w:rFonts w:hint="eastAsia" w:ascii="方正黑体_GBK" w:hAnsi="方正黑体_GBK" w:eastAsia="方正黑体_GBK" w:cs="方正黑体_GBK"/>
                <w:color w:val="000000"/>
                <w:sz w:val="22"/>
                <w:szCs w:val="22"/>
              </w:rPr>
            </w:pPr>
            <w:r>
              <w:rPr>
                <w:rFonts w:hint="eastAsia" w:ascii="方正黑体_GBK" w:hAnsi="方正黑体_GBK" w:eastAsia="方正黑体_GBK" w:cs="方正黑体_GBK"/>
                <w:color w:val="000000"/>
                <w:sz w:val="22"/>
                <w:szCs w:val="22"/>
                <w:lang w:bidi="ar"/>
              </w:rPr>
              <w:t>适用场景</w:t>
            </w:r>
          </w:p>
        </w:tc>
      </w:tr>
      <w:tr w14:paraId="40DB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14:paraId="22E69241">
            <w:pPr>
              <w:spacing w:line="320" w:lineRule="exact"/>
              <w:ind w:firstLine="0" w:firstLineChars="0"/>
              <w:jc w:val="center"/>
              <w:rPr>
                <w:rFonts w:cs="Times New Roman"/>
                <w:kern w:val="0"/>
                <w:sz w:val="21"/>
                <w:szCs w:val="21"/>
                <w:lang w:bidi="ar"/>
              </w:rPr>
            </w:pPr>
            <w:r>
              <w:rPr>
                <w:rFonts w:cs="Times New Roman"/>
                <w:kern w:val="0"/>
                <w:sz w:val="21"/>
                <w:szCs w:val="21"/>
                <w:lang w:bidi="ar"/>
              </w:rPr>
              <w:t>LiteLLM</w:t>
            </w:r>
          </w:p>
        </w:tc>
        <w:tc>
          <w:tcPr>
            <w:tcW w:w="855" w:type="pct"/>
            <w:tcMar>
              <w:top w:w="75" w:type="dxa"/>
              <w:left w:w="120" w:type="dxa"/>
              <w:bottom w:w="75" w:type="dxa"/>
              <w:right w:w="120" w:type="dxa"/>
            </w:tcMar>
            <w:vAlign w:val="center"/>
          </w:tcPr>
          <w:p w14:paraId="28D85AF1">
            <w:pPr>
              <w:spacing w:line="320" w:lineRule="exact"/>
              <w:ind w:firstLine="0" w:firstLineChars="0"/>
              <w:jc w:val="center"/>
              <w:rPr>
                <w:rFonts w:cs="Times New Roman"/>
                <w:kern w:val="0"/>
                <w:sz w:val="21"/>
                <w:szCs w:val="21"/>
                <w:lang w:bidi="ar"/>
              </w:rPr>
            </w:pPr>
            <w:r>
              <w:rPr>
                <w:rFonts w:cs="Times New Roman"/>
                <w:kern w:val="0"/>
                <w:sz w:val="21"/>
                <w:szCs w:val="21"/>
                <w:lang w:bidi="ar"/>
              </w:rPr>
              <w:t>统一API网关</w:t>
            </w:r>
          </w:p>
        </w:tc>
        <w:tc>
          <w:tcPr>
            <w:tcW w:w="1451" w:type="pct"/>
            <w:tcMar>
              <w:top w:w="75" w:type="dxa"/>
              <w:left w:w="120" w:type="dxa"/>
              <w:bottom w:w="75" w:type="dxa"/>
              <w:right w:w="120" w:type="dxa"/>
            </w:tcMar>
            <w:vAlign w:val="center"/>
          </w:tcPr>
          <w:p w14:paraId="44DAA56B">
            <w:pPr>
              <w:spacing w:line="320" w:lineRule="exact"/>
              <w:ind w:firstLine="0" w:firstLineChars="0"/>
              <w:rPr>
                <w:rFonts w:cs="Times New Roman"/>
                <w:kern w:val="0"/>
                <w:sz w:val="21"/>
                <w:szCs w:val="21"/>
                <w:lang w:bidi="ar"/>
              </w:rPr>
            </w:pPr>
            <w:r>
              <w:rPr>
                <w:rFonts w:cs="Times New Roman"/>
                <w:kern w:val="0"/>
                <w:sz w:val="21"/>
                <w:szCs w:val="21"/>
                <w:lang w:bidi="ar"/>
              </w:rPr>
              <w:t>提供OpenAI兼容接口，接入100+种LLM；网关层自动Token计数与成本归算；按Key/用户/团队设置预算与速率限制；模型降级路由</w:t>
            </w:r>
          </w:p>
        </w:tc>
        <w:tc>
          <w:tcPr>
            <w:tcW w:w="940" w:type="pct"/>
            <w:tcMar>
              <w:top w:w="75" w:type="dxa"/>
              <w:left w:w="120" w:type="dxa"/>
              <w:bottom w:w="75" w:type="dxa"/>
              <w:right w:w="120" w:type="dxa"/>
            </w:tcMar>
            <w:vAlign w:val="center"/>
          </w:tcPr>
          <w:p w14:paraId="535FDFD9">
            <w:pPr>
              <w:spacing w:line="320" w:lineRule="exact"/>
              <w:ind w:firstLine="0" w:firstLineChars="0"/>
              <w:rPr>
                <w:rFonts w:cs="Times New Roman"/>
                <w:kern w:val="0"/>
                <w:sz w:val="21"/>
                <w:szCs w:val="21"/>
                <w:lang w:bidi="ar"/>
              </w:rPr>
            </w:pPr>
            <w:r>
              <w:rPr>
                <w:rFonts w:cs="Times New Roman"/>
                <w:kern w:val="0"/>
                <w:sz w:val="21"/>
                <w:szCs w:val="21"/>
                <w:lang w:bidi="ar"/>
              </w:rPr>
              <w:t>在请求入口统一计量，实现集中式用量管控与成本分摊</w:t>
            </w:r>
          </w:p>
        </w:tc>
        <w:tc>
          <w:tcPr>
            <w:tcW w:w="987" w:type="pct"/>
            <w:tcMar>
              <w:top w:w="75" w:type="dxa"/>
              <w:left w:w="120" w:type="dxa"/>
              <w:bottom w:w="75" w:type="dxa"/>
              <w:right w:w="0" w:type="dxa"/>
            </w:tcMar>
            <w:vAlign w:val="center"/>
          </w:tcPr>
          <w:p w14:paraId="7513EAA6">
            <w:pPr>
              <w:spacing w:line="320" w:lineRule="exact"/>
              <w:ind w:firstLine="0" w:firstLineChars="0"/>
              <w:rPr>
                <w:rFonts w:cs="Times New Roman"/>
                <w:kern w:val="0"/>
                <w:sz w:val="21"/>
                <w:szCs w:val="21"/>
                <w:lang w:bidi="ar"/>
              </w:rPr>
            </w:pPr>
            <w:r>
              <w:rPr>
                <w:rFonts w:cs="Times New Roman"/>
                <w:kern w:val="0"/>
                <w:sz w:val="21"/>
                <w:szCs w:val="21"/>
                <w:lang w:bidi="ar"/>
              </w:rPr>
              <w:t>企业LLM访问统一入口；按场景/部门核算Token成本；多模型统一管理</w:t>
            </w:r>
          </w:p>
        </w:tc>
      </w:tr>
      <w:tr w14:paraId="5415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14:paraId="0E91C736">
            <w:pPr>
              <w:spacing w:line="320" w:lineRule="exact"/>
              <w:ind w:firstLine="0" w:firstLineChars="0"/>
              <w:jc w:val="center"/>
              <w:rPr>
                <w:rFonts w:cs="Times New Roman"/>
                <w:kern w:val="0"/>
                <w:sz w:val="21"/>
                <w:szCs w:val="21"/>
                <w:lang w:bidi="ar"/>
              </w:rPr>
            </w:pPr>
            <w:r>
              <w:rPr>
                <w:rFonts w:cs="Times New Roman"/>
                <w:kern w:val="0"/>
                <w:sz w:val="21"/>
                <w:szCs w:val="21"/>
                <w:lang w:bidi="ar"/>
              </w:rPr>
              <w:t>Langfuse</w:t>
            </w:r>
          </w:p>
        </w:tc>
        <w:tc>
          <w:tcPr>
            <w:tcW w:w="855" w:type="pct"/>
            <w:tcMar>
              <w:top w:w="75" w:type="dxa"/>
              <w:left w:w="120" w:type="dxa"/>
              <w:bottom w:w="75" w:type="dxa"/>
              <w:right w:w="120" w:type="dxa"/>
            </w:tcMar>
            <w:vAlign w:val="center"/>
          </w:tcPr>
          <w:p w14:paraId="5F93B171">
            <w:pPr>
              <w:spacing w:line="320" w:lineRule="exact"/>
              <w:ind w:firstLine="0" w:firstLineChars="0"/>
              <w:jc w:val="center"/>
              <w:rPr>
                <w:rFonts w:cs="Times New Roman"/>
                <w:kern w:val="0"/>
                <w:sz w:val="21"/>
                <w:szCs w:val="21"/>
                <w:lang w:bidi="ar"/>
              </w:rPr>
            </w:pPr>
            <w:r>
              <w:rPr>
                <w:rFonts w:cs="Times New Roman"/>
                <w:kern w:val="0"/>
                <w:sz w:val="21"/>
                <w:szCs w:val="21"/>
                <w:lang w:bidi="ar"/>
              </w:rPr>
              <w:t>全生命周期追踪</w:t>
            </w:r>
          </w:p>
        </w:tc>
        <w:tc>
          <w:tcPr>
            <w:tcW w:w="1451" w:type="pct"/>
            <w:tcMar>
              <w:top w:w="75" w:type="dxa"/>
              <w:left w:w="120" w:type="dxa"/>
              <w:bottom w:w="75" w:type="dxa"/>
              <w:right w:w="120" w:type="dxa"/>
            </w:tcMar>
            <w:vAlign w:val="center"/>
          </w:tcPr>
          <w:p w14:paraId="3F3426D4">
            <w:pPr>
              <w:spacing w:line="320" w:lineRule="exact"/>
              <w:ind w:firstLine="0" w:firstLineChars="0"/>
              <w:rPr>
                <w:rFonts w:cs="Times New Roman"/>
                <w:kern w:val="0"/>
                <w:sz w:val="21"/>
                <w:szCs w:val="21"/>
                <w:lang w:bidi="ar"/>
              </w:rPr>
            </w:pPr>
            <w:r>
              <w:rPr>
                <w:rFonts w:cs="Times New Roman"/>
                <w:kern w:val="0"/>
                <w:sz w:val="21"/>
                <w:szCs w:val="21"/>
                <w:lang w:bidi="ar"/>
              </w:rPr>
              <w:t>LLM调用链追踪；Token统计与成本归因；支持按用户/会话/功能拆解用量；评估分析与反馈闭环</w:t>
            </w:r>
          </w:p>
        </w:tc>
        <w:tc>
          <w:tcPr>
            <w:tcW w:w="940" w:type="pct"/>
            <w:tcMar>
              <w:top w:w="75" w:type="dxa"/>
              <w:left w:w="120" w:type="dxa"/>
              <w:bottom w:w="75" w:type="dxa"/>
              <w:right w:w="120" w:type="dxa"/>
            </w:tcMar>
            <w:vAlign w:val="center"/>
          </w:tcPr>
          <w:p w14:paraId="4DE8976D">
            <w:pPr>
              <w:spacing w:line="320" w:lineRule="exact"/>
              <w:ind w:firstLine="0" w:firstLineChars="0"/>
              <w:rPr>
                <w:rFonts w:cs="Times New Roman"/>
                <w:kern w:val="0"/>
                <w:sz w:val="21"/>
                <w:szCs w:val="21"/>
                <w:lang w:bidi="ar"/>
              </w:rPr>
            </w:pPr>
            <w:r>
              <w:rPr>
                <w:rFonts w:cs="Times New Roman"/>
                <w:kern w:val="0"/>
                <w:sz w:val="21"/>
                <w:szCs w:val="21"/>
                <w:lang w:bidi="ar"/>
              </w:rPr>
              <w:t>通过SDK埋点捕获每次调用的Token消耗，关联业务上下文</w:t>
            </w:r>
          </w:p>
        </w:tc>
        <w:tc>
          <w:tcPr>
            <w:tcW w:w="987" w:type="pct"/>
            <w:tcMar>
              <w:top w:w="75" w:type="dxa"/>
              <w:left w:w="120" w:type="dxa"/>
              <w:bottom w:w="75" w:type="dxa"/>
              <w:right w:w="0" w:type="dxa"/>
            </w:tcMar>
            <w:vAlign w:val="center"/>
          </w:tcPr>
          <w:p w14:paraId="0115513D">
            <w:pPr>
              <w:spacing w:line="320" w:lineRule="exact"/>
              <w:ind w:firstLine="0" w:firstLineChars="0"/>
              <w:rPr>
                <w:rFonts w:cs="Times New Roman"/>
                <w:kern w:val="0"/>
                <w:sz w:val="21"/>
                <w:szCs w:val="21"/>
                <w:lang w:bidi="ar"/>
              </w:rPr>
            </w:pPr>
            <w:r>
              <w:rPr>
                <w:rFonts w:cs="Times New Roman"/>
                <w:kern w:val="0"/>
                <w:sz w:val="21"/>
                <w:szCs w:val="21"/>
                <w:lang w:bidi="ar"/>
              </w:rPr>
              <w:t>开发调试与生产监控；L2级场景的用量仪表盘；满足审计要求的调用链记录</w:t>
            </w:r>
          </w:p>
        </w:tc>
      </w:tr>
      <w:tr w14:paraId="20A0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14:paraId="66AAD059">
            <w:pPr>
              <w:spacing w:line="320" w:lineRule="exact"/>
              <w:ind w:firstLine="0" w:firstLineChars="0"/>
              <w:jc w:val="center"/>
              <w:rPr>
                <w:rFonts w:cs="Times New Roman"/>
                <w:kern w:val="0"/>
                <w:sz w:val="21"/>
                <w:szCs w:val="21"/>
                <w:lang w:bidi="ar"/>
              </w:rPr>
            </w:pPr>
            <w:r>
              <w:rPr>
                <w:rFonts w:cs="Times New Roman"/>
                <w:kern w:val="0"/>
                <w:sz w:val="21"/>
                <w:szCs w:val="21"/>
                <w:lang w:bidi="ar"/>
              </w:rPr>
              <w:t>Quotio</w:t>
            </w:r>
          </w:p>
        </w:tc>
        <w:tc>
          <w:tcPr>
            <w:tcW w:w="855" w:type="pct"/>
            <w:tcMar>
              <w:top w:w="75" w:type="dxa"/>
              <w:left w:w="120" w:type="dxa"/>
              <w:bottom w:w="75" w:type="dxa"/>
              <w:right w:w="120" w:type="dxa"/>
            </w:tcMar>
            <w:vAlign w:val="center"/>
          </w:tcPr>
          <w:p w14:paraId="6CC8FFDA">
            <w:pPr>
              <w:spacing w:line="320" w:lineRule="exact"/>
              <w:ind w:firstLine="0" w:firstLineChars="0"/>
              <w:jc w:val="center"/>
              <w:rPr>
                <w:rFonts w:cs="Times New Roman"/>
                <w:kern w:val="0"/>
                <w:sz w:val="21"/>
                <w:szCs w:val="21"/>
                <w:lang w:bidi="ar"/>
              </w:rPr>
            </w:pPr>
            <w:r>
              <w:rPr>
                <w:rFonts w:cs="Times New Roman"/>
                <w:kern w:val="0"/>
                <w:sz w:val="21"/>
                <w:szCs w:val="21"/>
                <w:lang w:bidi="ar"/>
              </w:rPr>
              <w:t>AI账号配额管理器</w:t>
            </w:r>
          </w:p>
        </w:tc>
        <w:tc>
          <w:tcPr>
            <w:tcW w:w="1451" w:type="pct"/>
            <w:tcMar>
              <w:top w:w="75" w:type="dxa"/>
              <w:left w:w="120" w:type="dxa"/>
              <w:bottom w:w="75" w:type="dxa"/>
              <w:right w:w="120" w:type="dxa"/>
            </w:tcMar>
            <w:vAlign w:val="center"/>
          </w:tcPr>
          <w:p w14:paraId="2C89AFD7">
            <w:pPr>
              <w:spacing w:line="320" w:lineRule="exact"/>
              <w:ind w:firstLine="0" w:firstLineChars="0"/>
              <w:rPr>
                <w:rFonts w:cs="Times New Roman"/>
                <w:kern w:val="0"/>
                <w:sz w:val="21"/>
                <w:szCs w:val="21"/>
                <w:lang w:bidi="ar"/>
              </w:rPr>
            </w:pPr>
            <w:r>
              <w:rPr>
                <w:rFonts w:cs="Times New Roman"/>
                <w:kern w:val="0"/>
                <w:sz w:val="21"/>
                <w:szCs w:val="21"/>
                <w:lang w:bidi="ar"/>
              </w:rPr>
              <w:t>统一管理多平台AI账号；实时追踪各账号配额使用率；支持CLI工具自动配置与故障转移</w:t>
            </w:r>
          </w:p>
        </w:tc>
        <w:tc>
          <w:tcPr>
            <w:tcW w:w="940" w:type="pct"/>
            <w:tcMar>
              <w:top w:w="75" w:type="dxa"/>
              <w:left w:w="120" w:type="dxa"/>
              <w:bottom w:w="75" w:type="dxa"/>
              <w:right w:w="120" w:type="dxa"/>
            </w:tcMar>
            <w:vAlign w:val="center"/>
          </w:tcPr>
          <w:p w14:paraId="69D8A94E">
            <w:pPr>
              <w:spacing w:line="320" w:lineRule="exact"/>
              <w:ind w:firstLine="0" w:firstLineChars="0"/>
              <w:rPr>
                <w:rFonts w:cs="Times New Roman"/>
                <w:kern w:val="0"/>
                <w:sz w:val="21"/>
                <w:szCs w:val="21"/>
                <w:lang w:bidi="ar"/>
              </w:rPr>
            </w:pPr>
            <w:r>
              <w:rPr>
                <w:rFonts w:cs="Times New Roman"/>
                <w:kern w:val="0"/>
                <w:sz w:val="21"/>
                <w:szCs w:val="21"/>
                <w:lang w:bidi="ar"/>
              </w:rPr>
              <w:t>通过本地菜单栏应用聚合多服务商API Key或OAuth凭证，可视化展示剩余配额并设置告警阈值，避免单账号超额中断工作流</w:t>
            </w:r>
          </w:p>
        </w:tc>
        <w:tc>
          <w:tcPr>
            <w:tcW w:w="987" w:type="pct"/>
            <w:tcMar>
              <w:top w:w="75" w:type="dxa"/>
              <w:left w:w="120" w:type="dxa"/>
              <w:bottom w:w="75" w:type="dxa"/>
              <w:right w:w="0" w:type="dxa"/>
            </w:tcMar>
            <w:vAlign w:val="center"/>
          </w:tcPr>
          <w:p w14:paraId="272FC669">
            <w:pPr>
              <w:spacing w:line="320" w:lineRule="exact"/>
              <w:ind w:firstLine="0" w:firstLineChars="0"/>
              <w:rPr>
                <w:rFonts w:cs="Times New Roman"/>
                <w:kern w:val="0"/>
                <w:sz w:val="21"/>
                <w:szCs w:val="21"/>
                <w:lang w:bidi="ar"/>
              </w:rPr>
            </w:pPr>
            <w:r>
              <w:rPr>
                <w:rFonts w:cs="Times New Roman"/>
                <w:kern w:val="0"/>
                <w:sz w:val="21"/>
                <w:szCs w:val="21"/>
                <w:lang w:bidi="ar"/>
              </w:rPr>
              <w:t>开发者个人或多Agent协作环境下的AI订阅账号集中管控；需频繁切换模型服务的编程辅助场景</w:t>
            </w:r>
          </w:p>
        </w:tc>
      </w:tr>
      <w:tr w14:paraId="20F1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14:paraId="6DB29282">
            <w:pPr>
              <w:spacing w:line="320" w:lineRule="exact"/>
              <w:ind w:firstLine="0" w:firstLineChars="0"/>
              <w:jc w:val="center"/>
              <w:rPr>
                <w:rFonts w:cs="Times New Roman"/>
                <w:kern w:val="0"/>
                <w:sz w:val="21"/>
                <w:szCs w:val="21"/>
                <w:lang w:bidi="ar"/>
              </w:rPr>
            </w:pPr>
            <w:r>
              <w:rPr>
                <w:rFonts w:cs="Times New Roman"/>
                <w:kern w:val="0"/>
                <w:sz w:val="21"/>
                <w:szCs w:val="21"/>
                <w:lang w:bidi="ar"/>
              </w:rPr>
              <w:t>Apache APISIX</w:t>
            </w:r>
          </w:p>
        </w:tc>
        <w:tc>
          <w:tcPr>
            <w:tcW w:w="855" w:type="pct"/>
            <w:tcMar>
              <w:top w:w="75" w:type="dxa"/>
              <w:left w:w="120" w:type="dxa"/>
              <w:bottom w:w="75" w:type="dxa"/>
              <w:right w:w="120" w:type="dxa"/>
            </w:tcMar>
            <w:vAlign w:val="center"/>
          </w:tcPr>
          <w:p w14:paraId="77A99694">
            <w:pPr>
              <w:spacing w:line="320" w:lineRule="exact"/>
              <w:ind w:firstLine="0" w:firstLineChars="0"/>
              <w:jc w:val="center"/>
              <w:rPr>
                <w:rFonts w:cs="Times New Roman"/>
                <w:kern w:val="0"/>
                <w:sz w:val="21"/>
                <w:szCs w:val="21"/>
                <w:lang w:bidi="ar"/>
              </w:rPr>
            </w:pPr>
            <w:r>
              <w:rPr>
                <w:rFonts w:cs="Times New Roman"/>
                <w:kern w:val="0"/>
                <w:sz w:val="21"/>
                <w:szCs w:val="21"/>
                <w:lang w:bidi="ar"/>
              </w:rPr>
              <w:t>云原生API网关</w:t>
            </w:r>
          </w:p>
        </w:tc>
        <w:tc>
          <w:tcPr>
            <w:tcW w:w="1451" w:type="pct"/>
            <w:tcMar>
              <w:top w:w="75" w:type="dxa"/>
              <w:left w:w="120" w:type="dxa"/>
              <w:bottom w:w="75" w:type="dxa"/>
              <w:right w:w="120" w:type="dxa"/>
            </w:tcMar>
            <w:vAlign w:val="center"/>
          </w:tcPr>
          <w:p w14:paraId="3B9737F3">
            <w:pPr>
              <w:spacing w:line="320" w:lineRule="exact"/>
              <w:ind w:firstLine="0" w:firstLineChars="0"/>
              <w:rPr>
                <w:rFonts w:cs="Times New Roman"/>
                <w:kern w:val="0"/>
                <w:sz w:val="21"/>
                <w:szCs w:val="21"/>
                <w:lang w:bidi="ar"/>
              </w:rPr>
            </w:pPr>
            <w:r>
              <w:rPr>
                <w:rFonts w:cs="Times New Roman"/>
                <w:kern w:val="0"/>
                <w:sz w:val="21"/>
                <w:szCs w:val="21"/>
                <w:lang w:bidi="ar"/>
              </w:rPr>
              <w:t>动态路由与负载均衡；支持按用户/IP/路径限流；集成JWT/OAuth2认证；提供全链路可观测性（Metrics/Logs/Tracing）</w:t>
            </w:r>
          </w:p>
        </w:tc>
        <w:tc>
          <w:tcPr>
            <w:tcW w:w="940" w:type="pct"/>
            <w:tcMar>
              <w:top w:w="75" w:type="dxa"/>
              <w:left w:w="120" w:type="dxa"/>
              <w:bottom w:w="75" w:type="dxa"/>
              <w:right w:w="120" w:type="dxa"/>
            </w:tcMar>
            <w:vAlign w:val="center"/>
          </w:tcPr>
          <w:p w14:paraId="0D2366F5">
            <w:pPr>
              <w:spacing w:line="320" w:lineRule="exact"/>
              <w:ind w:firstLine="0" w:firstLineChars="0"/>
              <w:rPr>
                <w:rFonts w:cs="Times New Roman"/>
                <w:kern w:val="0"/>
                <w:sz w:val="21"/>
                <w:szCs w:val="21"/>
                <w:lang w:bidi="ar"/>
              </w:rPr>
            </w:pPr>
            <w:r>
              <w:rPr>
                <w:rFonts w:cs="Times New Roman"/>
                <w:kern w:val="0"/>
                <w:sz w:val="21"/>
                <w:szCs w:val="21"/>
                <w:lang w:bidi="ar"/>
              </w:rPr>
              <w:t>基于etcd实现毫秒级配置热更新，通过插件机制在网关层拦截请求并执行配额校验、熔断降级策略，保障后端服务稳定性</w:t>
            </w:r>
          </w:p>
        </w:tc>
        <w:tc>
          <w:tcPr>
            <w:tcW w:w="987" w:type="pct"/>
            <w:tcMar>
              <w:top w:w="75" w:type="dxa"/>
              <w:left w:w="120" w:type="dxa"/>
              <w:bottom w:w="75" w:type="dxa"/>
              <w:right w:w="0" w:type="dxa"/>
            </w:tcMar>
            <w:vAlign w:val="center"/>
          </w:tcPr>
          <w:p w14:paraId="44E6C944">
            <w:pPr>
              <w:spacing w:line="320" w:lineRule="exact"/>
              <w:ind w:firstLine="0" w:firstLineChars="0"/>
              <w:rPr>
                <w:rFonts w:cs="Times New Roman"/>
                <w:kern w:val="0"/>
                <w:sz w:val="21"/>
                <w:szCs w:val="21"/>
                <w:lang w:bidi="ar"/>
              </w:rPr>
            </w:pPr>
            <w:r>
              <w:rPr>
                <w:rFonts w:cs="Times New Roman"/>
                <w:kern w:val="0"/>
                <w:sz w:val="21"/>
                <w:szCs w:val="21"/>
                <w:lang w:bidi="ar"/>
              </w:rPr>
              <w:t>企业级微服务架构中统一接入LLM API；需高并发、低延迟、强安全控制的AI服务流量治理场景</w:t>
            </w:r>
          </w:p>
        </w:tc>
      </w:tr>
      <w:tr w14:paraId="5949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14:paraId="69FB127F">
            <w:pPr>
              <w:spacing w:line="320" w:lineRule="exact"/>
              <w:ind w:firstLine="0" w:firstLineChars="0"/>
              <w:jc w:val="center"/>
              <w:rPr>
                <w:rFonts w:cs="Times New Roman"/>
                <w:kern w:val="0"/>
                <w:sz w:val="21"/>
                <w:szCs w:val="21"/>
                <w:lang w:bidi="ar"/>
              </w:rPr>
            </w:pPr>
            <w:r>
              <w:rPr>
                <w:rFonts w:cs="Times New Roman"/>
                <w:kern w:val="0"/>
                <w:sz w:val="21"/>
                <w:szCs w:val="21"/>
                <w:lang w:bidi="ar"/>
              </w:rPr>
              <w:t>OpenLit</w:t>
            </w:r>
          </w:p>
        </w:tc>
        <w:tc>
          <w:tcPr>
            <w:tcW w:w="855" w:type="pct"/>
            <w:tcMar>
              <w:top w:w="75" w:type="dxa"/>
              <w:left w:w="120" w:type="dxa"/>
              <w:bottom w:w="75" w:type="dxa"/>
              <w:right w:w="120" w:type="dxa"/>
            </w:tcMar>
            <w:vAlign w:val="center"/>
          </w:tcPr>
          <w:p w14:paraId="24C25801">
            <w:pPr>
              <w:spacing w:line="320" w:lineRule="exact"/>
              <w:ind w:firstLine="0" w:firstLineChars="0"/>
              <w:jc w:val="center"/>
              <w:rPr>
                <w:rFonts w:cs="Times New Roman"/>
                <w:kern w:val="0"/>
                <w:sz w:val="21"/>
                <w:szCs w:val="21"/>
                <w:lang w:bidi="ar"/>
              </w:rPr>
            </w:pPr>
            <w:r>
              <w:rPr>
                <w:rFonts w:cs="Times New Roman"/>
                <w:kern w:val="0"/>
                <w:sz w:val="21"/>
                <w:szCs w:val="21"/>
                <w:lang w:bidi="ar"/>
              </w:rPr>
              <w:t>OpenTelemetry原生可观测性</w:t>
            </w:r>
          </w:p>
        </w:tc>
        <w:tc>
          <w:tcPr>
            <w:tcW w:w="1451" w:type="pct"/>
            <w:tcMar>
              <w:top w:w="75" w:type="dxa"/>
              <w:left w:w="120" w:type="dxa"/>
              <w:bottom w:w="75" w:type="dxa"/>
              <w:right w:w="120" w:type="dxa"/>
            </w:tcMar>
            <w:vAlign w:val="center"/>
          </w:tcPr>
          <w:p w14:paraId="37AF9CB2">
            <w:pPr>
              <w:spacing w:line="320" w:lineRule="exact"/>
              <w:ind w:firstLine="0" w:firstLineChars="0"/>
              <w:rPr>
                <w:rFonts w:cs="Times New Roman"/>
                <w:kern w:val="0"/>
                <w:sz w:val="21"/>
                <w:szCs w:val="21"/>
                <w:lang w:bidi="ar"/>
              </w:rPr>
            </w:pPr>
            <w:r>
              <w:rPr>
                <w:rFonts w:cs="Times New Roman"/>
                <w:kern w:val="0"/>
                <w:sz w:val="21"/>
                <w:szCs w:val="21"/>
                <w:lang w:bidi="ar"/>
              </w:rPr>
              <w:t>基于OTel标准采集LLM调用数据；自动捕获Token用量、模型、成本等指标；数据可存入企业现有平台（Jaeger、Grafana等）</w:t>
            </w:r>
          </w:p>
        </w:tc>
        <w:tc>
          <w:tcPr>
            <w:tcW w:w="940" w:type="pct"/>
            <w:tcMar>
              <w:top w:w="75" w:type="dxa"/>
              <w:left w:w="120" w:type="dxa"/>
              <w:bottom w:w="75" w:type="dxa"/>
              <w:right w:w="120" w:type="dxa"/>
            </w:tcMar>
            <w:vAlign w:val="center"/>
          </w:tcPr>
          <w:p w14:paraId="19CB0203">
            <w:pPr>
              <w:spacing w:line="320" w:lineRule="exact"/>
              <w:ind w:firstLine="0" w:firstLineChars="0"/>
              <w:rPr>
                <w:rFonts w:cs="Times New Roman"/>
                <w:kern w:val="0"/>
                <w:sz w:val="21"/>
                <w:szCs w:val="21"/>
                <w:lang w:bidi="ar"/>
              </w:rPr>
            </w:pPr>
            <w:r>
              <w:rPr>
                <w:rFonts w:cs="Times New Roman"/>
                <w:kern w:val="0"/>
                <w:sz w:val="21"/>
                <w:szCs w:val="21"/>
                <w:lang w:bidi="ar"/>
              </w:rPr>
              <w:t>将LLM监控融入企业通用可观测性体系，避免数据孤岛</w:t>
            </w:r>
          </w:p>
        </w:tc>
        <w:tc>
          <w:tcPr>
            <w:tcW w:w="987" w:type="pct"/>
            <w:tcMar>
              <w:top w:w="75" w:type="dxa"/>
              <w:left w:w="120" w:type="dxa"/>
              <w:bottom w:w="75" w:type="dxa"/>
              <w:right w:w="0" w:type="dxa"/>
            </w:tcMar>
            <w:vAlign w:val="center"/>
          </w:tcPr>
          <w:p w14:paraId="670D7646">
            <w:pPr>
              <w:spacing w:line="320" w:lineRule="exact"/>
              <w:ind w:firstLine="0" w:firstLineChars="0"/>
              <w:rPr>
                <w:rFonts w:cs="Times New Roman"/>
                <w:kern w:val="0"/>
                <w:sz w:val="21"/>
                <w:szCs w:val="21"/>
                <w:lang w:bidi="ar"/>
              </w:rPr>
            </w:pPr>
            <w:r>
              <w:rPr>
                <w:rFonts w:cs="Times New Roman"/>
                <w:kern w:val="0"/>
                <w:sz w:val="21"/>
                <w:szCs w:val="21"/>
                <w:lang w:bidi="ar"/>
              </w:rPr>
              <w:t>已有OTel基础设施的企业；L3级场景数据自控；统一运维视图</w:t>
            </w:r>
          </w:p>
        </w:tc>
      </w:tr>
      <w:tr w14:paraId="37E9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14:paraId="18329D4E">
            <w:pPr>
              <w:spacing w:line="320" w:lineRule="exact"/>
              <w:ind w:firstLine="0" w:firstLineChars="0"/>
              <w:jc w:val="center"/>
              <w:rPr>
                <w:rFonts w:cs="Times New Roman"/>
                <w:kern w:val="0"/>
                <w:sz w:val="21"/>
                <w:szCs w:val="21"/>
                <w:lang w:bidi="ar"/>
              </w:rPr>
            </w:pPr>
            <w:r>
              <w:rPr>
                <w:rFonts w:cs="Times New Roman"/>
                <w:kern w:val="0"/>
                <w:sz w:val="21"/>
                <w:szCs w:val="21"/>
                <w:lang w:bidi="ar"/>
              </w:rPr>
              <w:t>Helicone</w:t>
            </w:r>
          </w:p>
        </w:tc>
        <w:tc>
          <w:tcPr>
            <w:tcW w:w="855" w:type="pct"/>
            <w:tcMar>
              <w:top w:w="75" w:type="dxa"/>
              <w:left w:w="120" w:type="dxa"/>
              <w:bottom w:w="75" w:type="dxa"/>
              <w:right w:w="120" w:type="dxa"/>
            </w:tcMar>
            <w:vAlign w:val="center"/>
          </w:tcPr>
          <w:p w14:paraId="462F61F3">
            <w:pPr>
              <w:spacing w:line="320" w:lineRule="exact"/>
              <w:ind w:firstLine="0" w:firstLineChars="0"/>
              <w:jc w:val="center"/>
              <w:rPr>
                <w:rFonts w:cs="Times New Roman"/>
                <w:kern w:val="0"/>
                <w:sz w:val="21"/>
                <w:szCs w:val="21"/>
                <w:lang w:bidi="ar"/>
              </w:rPr>
            </w:pPr>
            <w:r>
              <w:rPr>
                <w:rFonts w:cs="Times New Roman"/>
                <w:kern w:val="0"/>
                <w:sz w:val="21"/>
                <w:szCs w:val="21"/>
                <w:lang w:bidi="ar"/>
              </w:rPr>
              <w:t>轻量级代理监控</w:t>
            </w:r>
          </w:p>
        </w:tc>
        <w:tc>
          <w:tcPr>
            <w:tcW w:w="1451" w:type="pct"/>
            <w:tcMar>
              <w:top w:w="75" w:type="dxa"/>
              <w:left w:w="120" w:type="dxa"/>
              <w:bottom w:w="75" w:type="dxa"/>
              <w:right w:w="120" w:type="dxa"/>
            </w:tcMar>
            <w:vAlign w:val="center"/>
          </w:tcPr>
          <w:p w14:paraId="6075F341">
            <w:pPr>
              <w:spacing w:line="320" w:lineRule="exact"/>
              <w:ind w:firstLine="0" w:firstLineChars="0"/>
              <w:rPr>
                <w:rFonts w:cs="Times New Roman"/>
                <w:kern w:val="0"/>
                <w:sz w:val="21"/>
                <w:szCs w:val="21"/>
                <w:lang w:bidi="ar"/>
              </w:rPr>
            </w:pPr>
            <w:r>
              <w:rPr>
                <w:rFonts w:cs="Times New Roman"/>
                <w:kern w:val="0"/>
                <w:sz w:val="21"/>
                <w:szCs w:val="21"/>
                <w:lang w:bidi="ar"/>
              </w:rPr>
              <w:t>通过修改Base URL无侵入接入；Token用量、成本、延迟仪表盘；请求缓存与速率限制</w:t>
            </w:r>
          </w:p>
        </w:tc>
        <w:tc>
          <w:tcPr>
            <w:tcW w:w="940" w:type="pct"/>
            <w:tcMar>
              <w:top w:w="75" w:type="dxa"/>
              <w:left w:w="120" w:type="dxa"/>
              <w:bottom w:w="75" w:type="dxa"/>
              <w:right w:w="120" w:type="dxa"/>
            </w:tcMar>
            <w:vAlign w:val="center"/>
          </w:tcPr>
          <w:p w14:paraId="251EB9EB">
            <w:pPr>
              <w:spacing w:line="320" w:lineRule="exact"/>
              <w:ind w:firstLine="0" w:firstLineChars="0"/>
              <w:rPr>
                <w:rFonts w:cs="Times New Roman"/>
                <w:kern w:val="0"/>
                <w:sz w:val="21"/>
                <w:szCs w:val="21"/>
                <w:lang w:bidi="ar"/>
              </w:rPr>
            </w:pPr>
            <w:r>
              <w:rPr>
                <w:rFonts w:cs="Times New Roman"/>
                <w:kern w:val="0"/>
                <w:sz w:val="21"/>
                <w:szCs w:val="21"/>
                <w:lang w:bidi="ar"/>
              </w:rPr>
              <w:t>代理层拦截请求，自动记录用量与成本信息</w:t>
            </w:r>
          </w:p>
        </w:tc>
        <w:tc>
          <w:tcPr>
            <w:tcW w:w="987" w:type="pct"/>
            <w:tcMar>
              <w:top w:w="75" w:type="dxa"/>
              <w:left w:w="120" w:type="dxa"/>
              <w:bottom w:w="75" w:type="dxa"/>
              <w:right w:w="0" w:type="dxa"/>
            </w:tcMar>
            <w:vAlign w:val="center"/>
          </w:tcPr>
          <w:p w14:paraId="30FC1CE0">
            <w:pPr>
              <w:spacing w:line="320" w:lineRule="exact"/>
              <w:ind w:firstLine="0" w:firstLineChars="0"/>
              <w:rPr>
                <w:rFonts w:cs="Times New Roman"/>
                <w:kern w:val="0"/>
                <w:sz w:val="21"/>
                <w:szCs w:val="21"/>
                <w:lang w:bidi="ar"/>
              </w:rPr>
            </w:pPr>
            <w:r>
              <w:rPr>
                <w:rFonts w:cs="Times New Roman"/>
                <w:kern w:val="0"/>
                <w:sz w:val="21"/>
                <w:szCs w:val="21"/>
                <w:lang w:bidi="ar"/>
              </w:rPr>
              <w:t>快速建立Token监控；L1级场景轻量接入；团队级用量广告牌</w:t>
            </w:r>
          </w:p>
        </w:tc>
      </w:tr>
      <w:tr w14:paraId="6A75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767" w:type="pct"/>
            <w:tcMar>
              <w:top w:w="75" w:type="dxa"/>
              <w:left w:w="0" w:type="dxa"/>
              <w:bottom w:w="75" w:type="dxa"/>
              <w:right w:w="120" w:type="dxa"/>
            </w:tcMar>
            <w:vAlign w:val="center"/>
          </w:tcPr>
          <w:p w14:paraId="36B40A54">
            <w:pPr>
              <w:spacing w:line="320" w:lineRule="exact"/>
              <w:ind w:firstLine="0" w:firstLineChars="0"/>
              <w:jc w:val="center"/>
              <w:rPr>
                <w:rFonts w:cs="Times New Roman"/>
                <w:kern w:val="0"/>
                <w:sz w:val="21"/>
                <w:szCs w:val="21"/>
                <w:lang w:bidi="ar"/>
              </w:rPr>
            </w:pPr>
            <w:r>
              <w:rPr>
                <w:rFonts w:cs="Times New Roman"/>
                <w:kern w:val="0"/>
                <w:sz w:val="21"/>
                <w:szCs w:val="21"/>
                <w:lang w:bidi="ar"/>
              </w:rPr>
              <w:t>OpenMeter</w:t>
            </w:r>
          </w:p>
        </w:tc>
        <w:tc>
          <w:tcPr>
            <w:tcW w:w="855" w:type="pct"/>
            <w:tcMar>
              <w:top w:w="75" w:type="dxa"/>
              <w:left w:w="120" w:type="dxa"/>
              <w:bottom w:w="75" w:type="dxa"/>
              <w:right w:w="120" w:type="dxa"/>
            </w:tcMar>
            <w:vAlign w:val="center"/>
          </w:tcPr>
          <w:p w14:paraId="4556B551">
            <w:pPr>
              <w:spacing w:line="320" w:lineRule="exact"/>
              <w:ind w:firstLine="0" w:firstLineChars="0"/>
              <w:jc w:val="center"/>
              <w:rPr>
                <w:rFonts w:cs="Times New Roman"/>
                <w:kern w:val="0"/>
                <w:sz w:val="21"/>
                <w:szCs w:val="21"/>
                <w:lang w:bidi="ar"/>
              </w:rPr>
            </w:pPr>
            <w:r>
              <w:rPr>
                <w:rFonts w:cs="Times New Roman"/>
                <w:kern w:val="0"/>
                <w:sz w:val="21"/>
                <w:szCs w:val="21"/>
                <w:lang w:bidi="ar"/>
              </w:rPr>
              <w:t>用量计量与计费引擎</w:t>
            </w:r>
          </w:p>
        </w:tc>
        <w:tc>
          <w:tcPr>
            <w:tcW w:w="1451" w:type="pct"/>
            <w:tcMar>
              <w:top w:w="75" w:type="dxa"/>
              <w:left w:w="120" w:type="dxa"/>
              <w:bottom w:w="75" w:type="dxa"/>
              <w:right w:w="120" w:type="dxa"/>
            </w:tcMar>
            <w:vAlign w:val="center"/>
          </w:tcPr>
          <w:p w14:paraId="3E0B50AB">
            <w:pPr>
              <w:spacing w:line="320" w:lineRule="exact"/>
              <w:ind w:firstLine="0" w:firstLineChars="0"/>
              <w:rPr>
                <w:rFonts w:cs="Times New Roman"/>
                <w:kern w:val="0"/>
                <w:sz w:val="21"/>
                <w:szCs w:val="21"/>
                <w:lang w:bidi="ar"/>
              </w:rPr>
            </w:pPr>
            <w:r>
              <w:rPr>
                <w:rFonts w:cs="Times New Roman"/>
                <w:kern w:val="0"/>
                <w:sz w:val="21"/>
                <w:szCs w:val="21"/>
                <w:lang w:bidi="ar"/>
              </w:rPr>
              <w:t>实时用量计量；多租户/多部门计费分摊；用量配额管理</w:t>
            </w:r>
          </w:p>
        </w:tc>
        <w:tc>
          <w:tcPr>
            <w:tcW w:w="940" w:type="pct"/>
            <w:tcMar>
              <w:top w:w="75" w:type="dxa"/>
              <w:left w:w="120" w:type="dxa"/>
              <w:bottom w:w="75" w:type="dxa"/>
              <w:right w:w="120" w:type="dxa"/>
            </w:tcMar>
            <w:vAlign w:val="center"/>
          </w:tcPr>
          <w:p w14:paraId="1D3C0CC4">
            <w:pPr>
              <w:spacing w:line="320" w:lineRule="exact"/>
              <w:ind w:firstLine="0" w:firstLineChars="0"/>
              <w:rPr>
                <w:rFonts w:cs="Times New Roman"/>
                <w:kern w:val="0"/>
                <w:sz w:val="21"/>
                <w:szCs w:val="21"/>
                <w:lang w:bidi="ar"/>
              </w:rPr>
            </w:pPr>
            <w:r>
              <w:rPr>
                <w:rFonts w:cs="Times New Roman"/>
                <w:kern w:val="0"/>
                <w:sz w:val="21"/>
                <w:szCs w:val="21"/>
                <w:lang w:bidi="ar"/>
              </w:rPr>
              <w:t>在请求路径上嵌入计量点，按规则实时归算用量</w:t>
            </w:r>
          </w:p>
        </w:tc>
        <w:tc>
          <w:tcPr>
            <w:tcW w:w="987" w:type="pct"/>
            <w:tcMar>
              <w:top w:w="75" w:type="dxa"/>
              <w:left w:w="120" w:type="dxa"/>
              <w:bottom w:w="75" w:type="dxa"/>
              <w:right w:w="0" w:type="dxa"/>
            </w:tcMar>
            <w:vAlign w:val="center"/>
          </w:tcPr>
          <w:p w14:paraId="17E8D884">
            <w:pPr>
              <w:spacing w:line="320" w:lineRule="exact"/>
              <w:ind w:firstLine="0" w:firstLineChars="0"/>
              <w:rPr>
                <w:rFonts w:cs="Times New Roman"/>
                <w:kern w:val="0"/>
                <w:sz w:val="21"/>
                <w:szCs w:val="21"/>
                <w:lang w:bidi="ar"/>
              </w:rPr>
            </w:pPr>
            <w:r>
              <w:rPr>
                <w:rFonts w:cs="Times New Roman"/>
                <w:kern w:val="0"/>
                <w:sz w:val="21"/>
                <w:szCs w:val="21"/>
                <w:lang w:bidi="ar"/>
              </w:rPr>
              <w:t>需要按租户/部门精确核算成本的场景；多项目资源结算</w:t>
            </w:r>
          </w:p>
        </w:tc>
      </w:tr>
    </w:tbl>
    <w:p w14:paraId="014B92D0">
      <w:pPr>
        <w:ind w:firstLine="643" w:firstLineChars="0"/>
        <w:rPr>
          <w:highlight w:val="yellow"/>
        </w:rPr>
      </w:pPr>
      <w:r>
        <w:rPr>
          <w:rFonts w:cs="Times New Roman"/>
          <w:b/>
          <w:bCs/>
          <w:szCs w:val="32"/>
        </w:rPr>
        <w:t>在本地化部署模式下</w:t>
      </w:r>
      <w:r>
        <w:rPr>
          <w:rFonts w:cs="Times New Roman"/>
          <w:szCs w:val="32"/>
        </w:rPr>
        <w:t>，企业应构建适配私有化底座的算力配额换算机制，基于内部成本归集口径，对硬件资产折旧、机房电力能耗、平台运维保障等综合投入完成标准化计量，形成等效Token配额基准值，结合业务场景分级结果，沿</w:t>
      </w:r>
      <w:r>
        <w:rPr>
          <w:rFonts w:hint="eastAsia" w:cs="Times New Roman"/>
          <w:szCs w:val="32"/>
        </w:rPr>
        <w:t>“</w:t>
      </w:r>
      <w:r>
        <w:rPr>
          <w:rFonts w:cs="Times New Roman"/>
          <w:szCs w:val="32"/>
        </w:rPr>
        <w:t>场景</w:t>
      </w:r>
      <w:r>
        <w:rPr>
          <w:rFonts w:hint="eastAsia" w:cs="Times New Roman"/>
          <w:szCs w:val="32"/>
        </w:rPr>
        <w:t>—</w:t>
      </w:r>
      <w:r>
        <w:rPr>
          <w:rFonts w:cs="Times New Roman"/>
          <w:szCs w:val="32"/>
        </w:rPr>
        <w:t>部门</w:t>
      </w:r>
      <w:r>
        <w:rPr>
          <w:rFonts w:hint="eastAsia" w:cs="Times New Roman"/>
          <w:szCs w:val="32"/>
        </w:rPr>
        <w:t>—</w:t>
      </w:r>
      <w:r>
        <w:rPr>
          <w:rFonts w:cs="Times New Roman"/>
          <w:szCs w:val="32"/>
        </w:rPr>
        <w:t>项目</w:t>
      </w:r>
      <w:r>
        <w:rPr>
          <w:rFonts w:hint="eastAsia" w:cs="Times New Roman"/>
          <w:szCs w:val="32"/>
        </w:rPr>
        <w:t>—</w:t>
      </w:r>
      <w:r>
        <w:rPr>
          <w:rFonts w:cs="Times New Roman"/>
          <w:szCs w:val="32"/>
        </w:rPr>
        <w:t>用户</w:t>
      </w:r>
      <w:r>
        <w:rPr>
          <w:rFonts w:hint="eastAsia" w:cs="Times New Roman"/>
          <w:szCs w:val="32"/>
        </w:rPr>
        <w:t>”</w:t>
      </w:r>
      <w:r>
        <w:rPr>
          <w:rFonts w:cs="Times New Roman"/>
          <w:szCs w:val="32"/>
        </w:rPr>
        <w:t>四级管控维度完成配额逐级拆解与下发。依托容器调度平台与配额管控引擎，动态采集各业务单元GPU资源占用、推理运行时长以及等效Token消耗数据，实现配额额度实时扣减；当资源使用率触发提醒、预警、熔断三级管控阈值时，自动执行限流、降级、资源熔断等处置策略。同时，配额换算过程充分考虑</w:t>
      </w:r>
      <w:r>
        <w:rPr>
          <w:rFonts w:hint="eastAsia" w:ascii="方正仿宋_GBK" w:hAnsi="方正仿宋_GBK" w:cs="方正仿宋_GBK"/>
          <w:szCs w:val="32"/>
        </w:rPr>
        <w:t>不同经营主体的成本归集差异，在等效配额生成阶段规避因资产归属、运维责任边界不同带来的分摊口径不一致问题，保障各主体配额测算结果公允可落地。</w:t>
      </w:r>
    </w:p>
    <w:p w14:paraId="4682220A">
      <w:pPr>
        <w:pStyle w:val="4"/>
        <w:ind w:firstLine="643"/>
      </w:pPr>
      <w:bookmarkStart w:id="46" w:name="_Toc31971"/>
      <w:bookmarkStart w:id="47" w:name="_Toc5312"/>
      <w:r>
        <w:rPr>
          <w:rFonts w:hint="eastAsia"/>
        </w:rPr>
        <w:t>5.Prompt工程</w:t>
      </w:r>
      <w:bookmarkEnd w:id="46"/>
      <w:bookmarkEnd w:id="47"/>
    </w:p>
    <w:p w14:paraId="123667A9">
      <w:pPr>
        <w:ind w:firstLine="640"/>
        <w:rPr>
          <w:b/>
          <w:bCs/>
        </w:rPr>
      </w:pPr>
      <w:r>
        <w:rPr>
          <w:rFonts w:hint="eastAsia"/>
        </w:rPr>
        <w:t>Prompt工程的核心目标是削减固定稳态Token开销，即在保证输出质量不降级的前提下，系统性地降低多轮交互中反复传输、反复计算的“不变成本”。</w:t>
      </w:r>
    </w:p>
    <w:p w14:paraId="1CE9FE34">
      <w:pPr>
        <w:ind w:firstLine="643"/>
      </w:pPr>
      <w:r>
        <w:rPr>
          <w:rFonts w:hint="eastAsia"/>
          <w:b/>
          <w:bCs/>
        </w:rPr>
        <w:t>Prompt工程应坚持四大原则</w:t>
      </w:r>
      <w:r>
        <w:rPr>
          <w:rFonts w:hint="eastAsia"/>
        </w:rPr>
        <w:t>：一是清晰结构化，指令表达无歧义，通过分段、编号等形式降低模型理解成本；二是业务角色设定与约束，明确模型的业务专家身份，并严格限定输出格式、篇幅与禁用内容；三是少量样本引导，通过提供高质量的输入输出样例，引导模型精准对齐业务期望；四是模板可管可控，统一归集企业全部Prompt模板，留存版本修改记录，支持灰度发布与一键回滚，避免无规范自定义提示词造成Token浪费。</w:t>
      </w:r>
    </w:p>
    <w:p w14:paraId="453C5514">
      <w:pPr>
        <w:ind w:firstLine="643"/>
      </w:pPr>
      <w:r>
        <w:rPr>
          <w:rFonts w:hint="eastAsia"/>
          <w:b/>
          <w:bCs/>
        </w:rPr>
        <w:t>具体来看，在公有云API模式下</w:t>
      </w:r>
      <w:r>
        <w:rPr>
          <w:rFonts w:hint="eastAsia"/>
        </w:rPr>
        <w:t>，Prompt工程的实施路径侧重动态测试与效果评估。企业应建立Prompt A/B测试机制，针对工艺报告生成、设备客服咨询、质检文本分析等不同场景，配置多套提示词模板。在模板设计层面，企业应注重优化Prompt的结构布局，利用大模型对输入开头和结尾关注度更高的特性，将角色设定、工艺原则、输出格式要求等固定不变的“硬性指令”集中放置在上下文的最前面，以确保模型每次响应时都能优先捕获并遵循核心约束；同时，可将具体问题或待处理文本放在末尾。这种结构优化能有效提高指令遵循的命中率，减少因“中间丢失”导致的逻辑偏差。通过统计业务采纳率、人工复核转单量、回答准确率等指标，量化对比各版本Prompt的Token消耗与业务收益。同时可借助云端大模型长上下文能力，动态注入最新工艺标准、设备台账等参考资料，优化长对话场景上下文复用逻辑，减少重复输入带来的冗余Token开销。</w:t>
      </w:r>
    </w:p>
    <w:p w14:paraId="5C2CD9B5">
      <w:pPr>
        <w:numPr>
          <w:ilvl w:val="255"/>
          <w:numId w:val="0"/>
        </w:numPr>
        <w:ind w:firstLine="640" w:firstLineChars="200"/>
      </w:pPr>
      <w:r>
        <w:rPr>
          <w:rFonts w:hint="eastAsia"/>
          <w:b/>
          <w:bCs/>
        </w:rPr>
        <w:t>在本地部署模式下</w:t>
      </w:r>
      <w:r>
        <w:rPr>
          <w:rFonts w:hint="eastAsia"/>
        </w:rPr>
        <w:t>，Prompt工程需兼顾提示词输出效果与GPU算力负载，并深度适配工业场景。受本地算力上限约束，企业需精简Prompt内容，控制Few-shot案例数量，长对话历史自动摘要压缩，减少单次推理显存占用与Token消耗。针对制造业设备日志与工人现场描述等非结构化数据，统一设计“结构化信息抽取—故障归类—根因分析—整改建议输出”的标准化推理链路。此外，本地部署的Prompt模板应支持文本图像联合输入，结合现场巡检图片与传感器数据进行综合研判，将复杂业务规则固化为系统内置逻辑，降低单次推理输入Token总量，缓解本地算力压力。</w:t>
      </w:r>
    </w:p>
    <w:p w14:paraId="1E6FF7A2">
      <w:pPr>
        <w:pStyle w:val="4"/>
        <w:ind w:firstLine="643"/>
      </w:pPr>
      <w:bookmarkStart w:id="48" w:name="_Toc16669"/>
      <w:bookmarkStart w:id="49" w:name="_Toc15254"/>
      <w:r>
        <w:rPr>
          <w:rFonts w:hint="eastAsia"/>
        </w:rPr>
        <w:t>6.RAG配置与更新</w:t>
      </w:r>
      <w:bookmarkEnd w:id="48"/>
      <w:bookmarkEnd w:id="49"/>
    </w:p>
    <w:p w14:paraId="1AC75E0A">
      <w:pPr>
        <w:ind w:firstLine="640"/>
      </w:pPr>
      <w:r>
        <w:rPr>
          <w:rFonts w:hint="eastAsia"/>
        </w:rPr>
        <w:t>RAG配置与更新的核心目标是解决通用大模型难以直接适配制造业垂直场景的一系列问题，即通过将企业内部知识向量化并构建为可检索的知识库，让模型在回答问题时能够查阅企业内部资料，而非仅依赖训练时的通用知识，保障模型基于最新知识库开展分析决策，保障模型回答质量，控制Token消耗基线。</w:t>
      </w:r>
    </w:p>
    <w:p w14:paraId="4A999F85">
      <w:pPr>
        <w:ind w:firstLine="643"/>
      </w:pPr>
      <w:r>
        <w:rPr>
          <w:rFonts w:hint="eastAsia"/>
          <w:b/>
          <w:bCs/>
        </w:rPr>
        <w:t>RAG配置与更新应坚持四大核心原则</w:t>
      </w:r>
      <w:r>
        <w:rPr>
          <w:rFonts w:hint="eastAsia"/>
        </w:rPr>
        <w:t>：一是自动化时效更新，打通企业网盘、OA、MES文档系统，实现新增技术文档自动抓取、清洗、矢量化入库，消除人工维护滞后问题；二是检索精度优先，采用父子文档等高级检索策略，保障召回内容完整、精准，减少无关文本拼接带来的多余Token；三是业务反馈闭环，收集用户问答点赞、纠错反馈，定期复盘回答错误、资料未命中案例，持续优化文档切片、矢量检索策略。四是分级精准运维，引入RAG成熟度模型（如RMM</w:t>
      </w:r>
      <w:r>
        <w:rPr>
          <w:rFonts w:hint="eastAsia"/>
          <w:vertAlign w:val="superscript"/>
        </w:rPr>
        <w:t>20</w:t>
      </w:r>
      <w:r>
        <w:rPr>
          <w:rFonts w:hint="eastAsia"/>
        </w:rPr>
        <w:t>）进行分级管理，明确不同场景下的建设目标与投入重点。对于检索精度与知识时效性要求高的场景，通常需达到RMM-4及以上级别，即在召回与重排序优化的基础上，建立缓存机制以保障响应性能，并通过周期性评测监控系统漂移；更进一步达到RMM-5企业级成熟度时，还需引入A/B测试、对抗性测试及CI/CD门禁，确保每次知识库更新均可量化验证对下游任务准确率的影响。而对于日常问答等常规场景，达到RMM-2（优化检索精度）或RMM-3（优化工作流）级别即可满足需求。通过分级设定维护策略，可在不同业务场景间合理分配运维资源，避免统一标准下的过度建设或精度不足。</w:t>
      </w:r>
    </w:p>
    <w:p w14:paraId="2C704059">
      <w:pPr>
        <w:ind w:firstLine="643"/>
      </w:pPr>
      <w:r>
        <w:rPr>
          <w:rFonts w:hint="eastAsia"/>
          <w:b/>
          <w:bCs/>
        </w:rPr>
        <w:t>具体来看，在公有云API模式下</w:t>
      </w:r>
      <w:r>
        <w:rPr>
          <w:rFonts w:hint="eastAsia"/>
        </w:rPr>
        <w:t>，RAG配置与更新依托云端矢量库、托管知识库服务实现弹性检索。企业将工艺图纸、设备手册、生产规范批量自动化切片、矢量化存储；用户发起业务查询时，云端高并发检索引擎快速匹配关联资料，拼接至Prompt后送入大模型推理。依托云端弹性算力承载海量文档检索需求，无需占用本地硬件资源，同时可按检索调用量精细化核算Token与检索资源成本。在此基础上，可针对不同业务场景按需设定RMM目标等级并配置相应维护策略：对于产线自主决策类等高准确度场景，按RMM-4/5级别要求配置缓存加速、周期性评测及版本更新准入机制，确保每次更新均经过量化验证；对于常规知识问答场景，按RMM-2/3级别要求配置基础检索优化与反馈闭环即可。云端托管的弹性特性使得不同等级策略可按业务单元独立部署与计费，实现资源投入与精度要求的精准匹配。</w:t>
      </w:r>
    </w:p>
    <w:p w14:paraId="1F8184BC">
      <w:pPr>
        <w:ind w:firstLine="643"/>
      </w:pPr>
      <w:r>
        <w:rPr>
          <w:rFonts w:hint="eastAsia"/>
          <w:b/>
          <w:bCs/>
        </w:rPr>
        <w:t>在本地部署模式下</w:t>
      </w:r>
      <w:r>
        <w:rPr>
          <w:rFonts w:hint="eastAsia"/>
        </w:rPr>
        <w:t>，RAG配置与更新的核心在于全链路本地化、数据安全与OT/IT数据打通。企业需在内网自建矢量数据库与检索引擎，文档解析、清洗、切片、矢量化全部本地完成，严守制造核心生产数据安全要求。为规避实时查询占用算力影响产线推理任务，设置非生产时段批量完成新文档矢量化预处理，同时对反馈闭环中积累的错误案例进行离线批量评估与检索策略验证，实现后台运维算力的集中复用。深度打通OT设备层、IT业务系统，实时同步设备故障码、工艺参数，建立故障与解决方案精准映射；通过矢量检索过滤冗余传感器数据，搭配知识图谱做语义压缩，避免大模型因海量冗余信息过载产生模糊结论，同时大幅压缩输入Token规模，降低GPU算力占用。在本地资源有限的前提下，更应依据RMM分级对维护策略进行差异化投入：面向产线自主决策的核心场景，集中资源优先达到RMM-4级要求，重点保障其检索精度的周期性评测、缓存响应速度及系统漂移监控；对于辅助类查询场景，维持RMM-2/3级标准，通过基础检索优化与反馈闭环持续迭代。同时，本地部署模式下可充分利用非生产时段的批量处理窗口，针对不同等级场景安排差异化的向量化更新频率与评测周期，在有限的算力资源下实现分级保障。</w:t>
      </w:r>
    </w:p>
    <w:p w14:paraId="1643DA65">
      <w:pPr>
        <w:pStyle w:val="3"/>
        <w:numPr>
          <w:ilvl w:val="0"/>
          <w:numId w:val="1"/>
        </w:numPr>
      </w:pPr>
      <w:bookmarkStart w:id="50" w:name="_Toc5408"/>
      <w:bookmarkStart w:id="51" w:name="_Toc16783"/>
      <w:r>
        <w:rPr>
          <w:rFonts w:hint="eastAsia"/>
        </w:rPr>
        <w:t>事中运行监控</w:t>
      </w:r>
      <w:bookmarkEnd w:id="50"/>
      <w:bookmarkEnd w:id="51"/>
    </w:p>
    <w:p w14:paraId="764733FD">
      <w:pPr>
        <w:pStyle w:val="4"/>
        <w:numPr>
          <w:ilvl w:val="0"/>
          <w:numId w:val="2"/>
        </w:numPr>
        <w:ind w:left="0" w:firstLine="643"/>
      </w:pPr>
      <w:bookmarkStart w:id="52" w:name="_Toc24356"/>
      <w:bookmarkStart w:id="53" w:name="_Toc7733"/>
      <w:r>
        <w:rPr>
          <w:rFonts w:hint="eastAsia"/>
        </w:rPr>
        <w:t>并发与限流机制</w:t>
      </w:r>
      <w:bookmarkEnd w:id="52"/>
      <w:bookmarkEnd w:id="53"/>
    </w:p>
    <w:p w14:paraId="1F061B67">
      <w:pPr>
        <w:ind w:firstLine="640"/>
      </w:pPr>
      <w:r>
        <w:rPr>
          <w:rFonts w:hint="eastAsia"/>
        </w:rPr>
        <w:t>并发与限流机制是依托智能调度引擎与配额规则执行组件，以场景分级优先级为核心依据，对实时调用流量实施分级调度、峰值限流与故障降级，在流量波动与资源受限场景下按优先级有序分配算力与</w:t>
      </w:r>
      <w:r>
        <w:rPr>
          <w:rFonts w:cs="Times New Roman"/>
        </w:rPr>
        <w:t>Token</w:t>
      </w:r>
      <w:r>
        <w:rPr>
          <w:rFonts w:hint="eastAsia"/>
        </w:rPr>
        <w:t>资源，为核心生产场景稳定运行、全局服务可用性保障提供流量管控底座。</w:t>
      </w:r>
    </w:p>
    <w:p w14:paraId="47AA2E49">
      <w:pPr>
        <w:ind w:firstLine="643"/>
      </w:pPr>
      <w:r>
        <w:rPr>
          <w:rFonts w:hint="eastAsia"/>
          <w:b/>
          <w:bCs/>
        </w:rPr>
        <w:t>并发与限流机制应坚持四大原则</w:t>
      </w:r>
      <w:r>
        <w:rPr>
          <w:rFonts w:hint="eastAsia"/>
        </w:rPr>
        <w:t>：一是分级优先保障，按场景等级优先级调度资源，算力与Token额度向核心生产场景倾斜，杜绝无差别平均分配；二是多维阈值管控，按场景、部门、用户三层设置分级限流与熔断阈值，高优先级场景保底、低优先级场景严控，防止无序挤占引发全局服务中断；三是动态弹性适配，随流量峰谷与配额使用进度实时调整限流力度，高峰锁资源保生产、低谷放权限提复用；四是链路联动闭环，限流规则与配额管控、路由调度、容灾降级深度联动，触发可追溯、故障可梯度回切，保障业务连续性。</w:t>
      </w:r>
    </w:p>
    <w:p w14:paraId="2A0FB153">
      <w:pPr>
        <w:ind w:firstLine="643"/>
      </w:pPr>
      <w:r>
        <w:rPr>
          <w:rFonts w:hint="eastAsia"/>
          <w:b/>
          <w:bCs/>
        </w:rPr>
        <w:t>具体来看，在公有云</w:t>
      </w:r>
      <w:r>
        <w:rPr>
          <w:rFonts w:cs="Times New Roman"/>
          <w:b/>
          <w:bCs/>
        </w:rPr>
        <w:t>API</w:t>
      </w:r>
      <w:r>
        <w:rPr>
          <w:rFonts w:hint="eastAsia"/>
          <w:b/>
          <w:bCs/>
        </w:rPr>
        <w:t>模式下</w:t>
      </w:r>
      <w:r>
        <w:rPr>
          <w:rFonts w:hint="eastAsia"/>
        </w:rPr>
        <w:t>，并发与限流机制以请求级身份标签与网关流量管控为基础，推荐采用“统一网关队列+分级阈值引擎”管控方案。各业务应用统一接入企业AI调度网关发起请求，携带场景等级、部门归属、用户身份标识按序进入对应优先级调度队列，不直接对接各厂商公有云API接口。智能调度引擎在请求准入阶段，自动完成场景配额余量校验、并发阈值实时判定与队列分发，结合配额使用率联动触发限流提醒、收紧与熔断动作，同步留存全量流量管控审计日志；针对工控瘫痪、工艺泄密等高风险生产安全场景，增设一票否决熔断红线。一旦触及安全临界阈值或出现异常调用模式，立即强制熔断并阻断全链路请求，不受常规优先级调度约束，同步冻结关联配额余量，并留存带责任追溯标识的全量审计记录，确保安全事件追责可闭环、可倒查。</w:t>
      </w:r>
    </w:p>
    <w:p w14:paraId="4B9317A7">
      <w:pPr>
        <w:ind w:firstLine="643"/>
      </w:pPr>
      <w:r>
        <w:rPr>
          <w:rFonts w:hint="eastAsia"/>
          <w:b/>
          <w:bCs/>
        </w:rPr>
        <w:t>在本地化部署模式下</w:t>
      </w:r>
      <w:r>
        <w:rPr>
          <w:rFonts w:hint="eastAsia"/>
        </w:rPr>
        <w:t>，企业需建立统一的本地流量调度与容量管控体系，将GPU集群、产线边缘节点的总算力容量转化为标准化并发承载阈值，按场景等级划定专属算力保障配额与全局共享资源池。依托容器调度平台与智能限流引擎，实时采集各模型实例的负载率、推理时延、并发占用量等运行指标，结合分级限流规则动态调整队列优先级、执行分级降级熔断、释放低优先级场景占用资源；其中，面向工控、工艺等高风险生产安全场景，应部署独立的安全阈值监测与强制熔断通路，一旦识别到可能导致生产瘫痪或工艺数据泄露的调用特征，直接由安全熔断通路执行一票否决阻断，并生成包含调用来源、操作链路、触发依据及责任人信息的详细审计记录，支撑事后安全追溯与责任认定。</w:t>
      </w:r>
    </w:p>
    <w:p w14:paraId="20302EA2">
      <w:pPr>
        <w:ind w:firstLine="0" w:firstLineChars="0"/>
        <w:jc w:val="center"/>
        <w:rPr>
          <w:rFonts w:hint="default" w:ascii="Times New Roman" w:hAnsi="Times New Roman" w:eastAsia="方正黑体_GBK" w:cs="Times New Roman"/>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6</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本地部署模式下并发设置关键维度及建议</w:t>
      </w:r>
    </w:p>
    <w:tbl>
      <w:tblPr>
        <w:tblStyle w:val="25"/>
        <w:tblW w:w="50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5"/>
        <w:gridCol w:w="4978"/>
        <w:gridCol w:w="1970"/>
      </w:tblGrid>
      <w:tr w14:paraId="07AC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00" w:type="pct"/>
          </w:tcPr>
          <w:p w14:paraId="172F7972">
            <w:pPr>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维度</w:t>
            </w:r>
          </w:p>
        </w:tc>
        <w:tc>
          <w:tcPr>
            <w:tcW w:w="2721" w:type="pct"/>
          </w:tcPr>
          <w:p w14:paraId="524C5C88">
            <w:pPr>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核心要点</w:t>
            </w:r>
          </w:p>
        </w:tc>
        <w:tc>
          <w:tcPr>
            <w:tcW w:w="1077" w:type="pct"/>
          </w:tcPr>
          <w:p w14:paraId="55B6EA4D">
            <w:pPr>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建议值</w:t>
            </w:r>
          </w:p>
        </w:tc>
      </w:tr>
      <w:tr w14:paraId="1AB6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200" w:type="pct"/>
            <w:vAlign w:val="center"/>
          </w:tcPr>
          <w:p w14:paraId="47DC9F61">
            <w:pPr>
              <w:spacing w:line="320" w:lineRule="exact"/>
              <w:ind w:firstLine="0" w:firstLineChars="0"/>
              <w:jc w:val="center"/>
              <w:rPr>
                <w:sz w:val="24"/>
                <w:szCs w:val="21"/>
              </w:rPr>
            </w:pPr>
            <w:r>
              <w:rPr>
                <w:rFonts w:hint="eastAsia"/>
                <w:sz w:val="24"/>
                <w:szCs w:val="21"/>
              </w:rPr>
              <w:t>设置位置</w:t>
            </w:r>
          </w:p>
        </w:tc>
        <w:tc>
          <w:tcPr>
            <w:tcW w:w="2721" w:type="pct"/>
            <w:vAlign w:val="center"/>
          </w:tcPr>
          <w:p w14:paraId="060DE3F2">
            <w:pPr>
              <w:spacing w:line="320" w:lineRule="exact"/>
              <w:ind w:firstLine="0" w:firstLineChars="0"/>
              <w:jc w:val="center"/>
              <w:rPr>
                <w:sz w:val="24"/>
                <w:szCs w:val="21"/>
              </w:rPr>
            </w:pPr>
            <w:r>
              <w:rPr>
                <w:rFonts w:hint="eastAsia"/>
                <w:sz w:val="24"/>
                <w:szCs w:val="21"/>
              </w:rPr>
              <w:t>在推理服务层配置</w:t>
            </w:r>
          </w:p>
          <w:p w14:paraId="75AB6B20">
            <w:pPr>
              <w:spacing w:line="320" w:lineRule="exact"/>
              <w:ind w:firstLine="0" w:firstLineChars="0"/>
              <w:jc w:val="center"/>
              <w:rPr>
                <w:sz w:val="24"/>
                <w:szCs w:val="21"/>
              </w:rPr>
            </w:pPr>
            <w:r>
              <w:rPr>
                <w:rFonts w:hint="eastAsia"/>
                <w:sz w:val="24"/>
                <w:szCs w:val="21"/>
              </w:rPr>
              <w:t>（vLLM/Ollama/自建网关）</w:t>
            </w:r>
          </w:p>
        </w:tc>
        <w:tc>
          <w:tcPr>
            <w:tcW w:w="1077" w:type="pct"/>
            <w:vAlign w:val="center"/>
          </w:tcPr>
          <w:p w14:paraId="2B369AF4">
            <w:pPr>
              <w:spacing w:line="320" w:lineRule="exact"/>
              <w:ind w:firstLine="0" w:firstLineChars="0"/>
              <w:jc w:val="center"/>
              <w:rPr>
                <w:sz w:val="24"/>
                <w:szCs w:val="21"/>
              </w:rPr>
            </w:pPr>
            <w:r>
              <w:rPr>
                <w:rFonts w:hint="eastAsia"/>
                <w:sz w:val="24"/>
                <w:szCs w:val="21"/>
              </w:rPr>
              <w:t>—</w:t>
            </w:r>
          </w:p>
        </w:tc>
      </w:tr>
      <w:tr w14:paraId="4D81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200" w:type="pct"/>
            <w:vAlign w:val="center"/>
          </w:tcPr>
          <w:p w14:paraId="05006FBF">
            <w:pPr>
              <w:spacing w:line="320" w:lineRule="exact"/>
              <w:ind w:firstLine="0" w:firstLineChars="0"/>
              <w:jc w:val="center"/>
              <w:rPr>
                <w:sz w:val="24"/>
                <w:szCs w:val="21"/>
              </w:rPr>
            </w:pPr>
            <w:r>
              <w:rPr>
                <w:rFonts w:hint="eastAsia"/>
                <w:sz w:val="24"/>
                <w:szCs w:val="21"/>
              </w:rPr>
              <w:t>硬性上限公式</w:t>
            </w:r>
          </w:p>
        </w:tc>
        <w:tc>
          <w:tcPr>
            <w:tcW w:w="2721" w:type="pct"/>
            <w:vAlign w:val="center"/>
          </w:tcPr>
          <w:p w14:paraId="2CC75497">
            <w:pPr>
              <w:spacing w:line="320" w:lineRule="exact"/>
              <w:ind w:firstLine="0" w:firstLineChars="0"/>
              <w:jc w:val="center"/>
              <w:rPr>
                <w:sz w:val="24"/>
                <w:szCs w:val="21"/>
              </w:rPr>
            </w:pPr>
            <w:r>
              <w:rPr>
                <w:rFonts w:hint="eastAsia"/>
                <w:sz w:val="24"/>
                <w:szCs w:val="21"/>
              </w:rPr>
              <w:t>压测找到P99延迟拐点后，打七折留余量</w:t>
            </w:r>
          </w:p>
        </w:tc>
        <w:tc>
          <w:tcPr>
            <w:tcW w:w="1077" w:type="pct"/>
            <w:vAlign w:val="center"/>
          </w:tcPr>
          <w:p w14:paraId="70B69B9C">
            <w:pPr>
              <w:spacing w:line="320" w:lineRule="exact"/>
              <w:ind w:firstLine="0" w:firstLineChars="0"/>
              <w:jc w:val="center"/>
              <w:rPr>
                <w:sz w:val="24"/>
                <w:szCs w:val="21"/>
              </w:rPr>
            </w:pPr>
            <w:r>
              <w:rPr>
                <w:rFonts w:hint="eastAsia"/>
                <w:sz w:val="24"/>
                <w:szCs w:val="21"/>
              </w:rPr>
              <w:t>理论上限×0.7</w:t>
            </w:r>
          </w:p>
        </w:tc>
      </w:tr>
      <w:tr w14:paraId="47E0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1200" w:type="pct"/>
            <w:vAlign w:val="center"/>
          </w:tcPr>
          <w:p w14:paraId="3BF5B4A8">
            <w:pPr>
              <w:spacing w:line="320" w:lineRule="exact"/>
              <w:ind w:firstLine="0" w:firstLineChars="0"/>
              <w:jc w:val="center"/>
              <w:rPr>
                <w:sz w:val="24"/>
                <w:szCs w:val="21"/>
              </w:rPr>
            </w:pPr>
            <w:r>
              <w:rPr>
                <w:rFonts w:hint="eastAsia"/>
                <w:sz w:val="24"/>
                <w:szCs w:val="21"/>
              </w:rPr>
              <w:t>单请求长度上限</w:t>
            </w:r>
          </w:p>
        </w:tc>
        <w:tc>
          <w:tcPr>
            <w:tcW w:w="2721" w:type="pct"/>
            <w:vAlign w:val="center"/>
          </w:tcPr>
          <w:p w14:paraId="6BCE9E2F">
            <w:pPr>
              <w:spacing w:line="320" w:lineRule="exact"/>
              <w:ind w:firstLine="0" w:firstLineChars="0"/>
              <w:jc w:val="center"/>
              <w:rPr>
                <w:sz w:val="24"/>
                <w:szCs w:val="21"/>
              </w:rPr>
            </w:pPr>
            <w:r>
              <w:rPr>
                <w:rFonts w:hint="eastAsia"/>
                <w:sz w:val="24"/>
                <w:szCs w:val="21"/>
              </w:rPr>
              <w:t>限制单次请求最大Token数，防止超长请求打穿显存</w:t>
            </w:r>
          </w:p>
        </w:tc>
        <w:tc>
          <w:tcPr>
            <w:tcW w:w="1077" w:type="pct"/>
            <w:vAlign w:val="center"/>
          </w:tcPr>
          <w:p w14:paraId="6A4CBA28">
            <w:pPr>
              <w:spacing w:line="320" w:lineRule="exact"/>
              <w:ind w:firstLine="0" w:firstLineChars="0"/>
              <w:jc w:val="center"/>
              <w:rPr>
                <w:sz w:val="24"/>
                <w:szCs w:val="21"/>
              </w:rPr>
            </w:pPr>
            <w:r>
              <w:rPr>
                <w:rFonts w:hint="eastAsia"/>
                <w:sz w:val="24"/>
                <w:szCs w:val="21"/>
              </w:rPr>
              <w:t>根据场景设定（质检≤4K，知识库≤8K）</w:t>
            </w:r>
          </w:p>
        </w:tc>
      </w:tr>
      <w:tr w14:paraId="439A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00" w:type="pct"/>
            <w:vAlign w:val="center"/>
          </w:tcPr>
          <w:p w14:paraId="6ADC4E88">
            <w:pPr>
              <w:spacing w:line="320" w:lineRule="exact"/>
              <w:ind w:firstLine="0" w:firstLineChars="0"/>
              <w:jc w:val="center"/>
              <w:rPr>
                <w:sz w:val="24"/>
                <w:szCs w:val="21"/>
              </w:rPr>
            </w:pPr>
            <w:r>
              <w:rPr>
                <w:rFonts w:hint="eastAsia"/>
                <w:sz w:val="24"/>
                <w:szCs w:val="21"/>
              </w:rPr>
              <w:t>并发上限</w:t>
            </w:r>
          </w:p>
        </w:tc>
        <w:tc>
          <w:tcPr>
            <w:tcW w:w="2721" w:type="pct"/>
            <w:vAlign w:val="center"/>
          </w:tcPr>
          <w:p w14:paraId="2AC8D8BA">
            <w:pPr>
              <w:spacing w:line="320" w:lineRule="exact"/>
              <w:ind w:firstLine="0" w:firstLineChars="0"/>
              <w:jc w:val="center"/>
              <w:rPr>
                <w:sz w:val="24"/>
                <w:szCs w:val="21"/>
              </w:rPr>
            </w:pPr>
            <w:r>
              <w:rPr>
                <w:rFonts w:hint="eastAsia"/>
                <w:sz w:val="24"/>
                <w:szCs w:val="21"/>
              </w:rPr>
              <w:t>超过上限的请求进入有界队列排队等待</w:t>
            </w:r>
          </w:p>
        </w:tc>
        <w:tc>
          <w:tcPr>
            <w:tcW w:w="1077" w:type="pct"/>
            <w:vAlign w:val="center"/>
          </w:tcPr>
          <w:p w14:paraId="3ED415E7">
            <w:pPr>
              <w:spacing w:line="320" w:lineRule="exact"/>
              <w:ind w:firstLine="0" w:firstLineChars="0"/>
              <w:jc w:val="center"/>
              <w:rPr>
                <w:sz w:val="24"/>
                <w:szCs w:val="21"/>
              </w:rPr>
            </w:pPr>
            <w:r>
              <w:rPr>
                <w:rFonts w:hint="eastAsia"/>
                <w:sz w:val="24"/>
                <w:szCs w:val="21"/>
              </w:rPr>
              <w:t>压测拐点×0.7</w:t>
            </w:r>
          </w:p>
        </w:tc>
      </w:tr>
      <w:tr w14:paraId="2234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200" w:type="pct"/>
            <w:vAlign w:val="center"/>
          </w:tcPr>
          <w:p w14:paraId="63C0DFD7">
            <w:pPr>
              <w:spacing w:line="320" w:lineRule="exact"/>
              <w:ind w:firstLine="0" w:firstLineChars="0"/>
              <w:jc w:val="center"/>
              <w:rPr>
                <w:sz w:val="24"/>
                <w:szCs w:val="21"/>
              </w:rPr>
            </w:pPr>
            <w:r>
              <w:rPr>
                <w:rFonts w:hint="eastAsia"/>
                <w:sz w:val="24"/>
                <w:szCs w:val="21"/>
              </w:rPr>
              <w:t>队列深度上限</w:t>
            </w:r>
          </w:p>
        </w:tc>
        <w:tc>
          <w:tcPr>
            <w:tcW w:w="2721" w:type="pct"/>
            <w:vAlign w:val="center"/>
          </w:tcPr>
          <w:p w14:paraId="0F88E64C">
            <w:pPr>
              <w:spacing w:line="320" w:lineRule="exact"/>
              <w:ind w:firstLine="0" w:firstLineChars="0"/>
              <w:jc w:val="center"/>
              <w:rPr>
                <w:sz w:val="24"/>
                <w:szCs w:val="21"/>
              </w:rPr>
            </w:pPr>
            <w:r>
              <w:rPr>
                <w:rFonts w:hint="eastAsia"/>
                <w:sz w:val="24"/>
                <w:szCs w:val="21"/>
              </w:rPr>
              <w:t>队列满后直接返回快速失败，避免无限堆积</w:t>
            </w:r>
          </w:p>
        </w:tc>
        <w:tc>
          <w:tcPr>
            <w:tcW w:w="1077" w:type="pct"/>
            <w:vAlign w:val="center"/>
          </w:tcPr>
          <w:p w14:paraId="371C17E0">
            <w:pPr>
              <w:spacing w:line="320" w:lineRule="exact"/>
              <w:ind w:firstLine="0" w:firstLineChars="0"/>
              <w:jc w:val="center"/>
              <w:rPr>
                <w:sz w:val="24"/>
                <w:szCs w:val="21"/>
              </w:rPr>
            </w:pPr>
            <w:r>
              <w:rPr>
                <w:rFonts w:hint="eastAsia"/>
                <w:sz w:val="24"/>
                <w:szCs w:val="21"/>
              </w:rPr>
              <w:t>并发上限的2~3倍</w:t>
            </w:r>
          </w:p>
        </w:tc>
      </w:tr>
      <w:tr w14:paraId="0FD1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200" w:type="pct"/>
            <w:vAlign w:val="center"/>
          </w:tcPr>
          <w:p w14:paraId="5A0E34E2">
            <w:pPr>
              <w:spacing w:line="320" w:lineRule="exact"/>
              <w:ind w:firstLine="0" w:firstLineChars="0"/>
              <w:jc w:val="center"/>
              <w:rPr>
                <w:sz w:val="24"/>
                <w:szCs w:val="21"/>
              </w:rPr>
            </w:pPr>
            <w:r>
              <w:rPr>
                <w:rFonts w:hint="eastAsia"/>
                <w:sz w:val="24"/>
                <w:szCs w:val="21"/>
              </w:rPr>
              <w:t>显存利用率警戒线</w:t>
            </w:r>
          </w:p>
        </w:tc>
        <w:tc>
          <w:tcPr>
            <w:tcW w:w="2721" w:type="pct"/>
            <w:vAlign w:val="center"/>
          </w:tcPr>
          <w:p w14:paraId="624731D1">
            <w:pPr>
              <w:spacing w:line="320" w:lineRule="exact"/>
              <w:ind w:firstLine="0" w:firstLineChars="0"/>
              <w:jc w:val="center"/>
              <w:rPr>
                <w:sz w:val="24"/>
                <w:szCs w:val="21"/>
              </w:rPr>
            </w:pPr>
            <w:r>
              <w:rPr>
                <w:rFonts w:hint="eastAsia"/>
                <w:sz w:val="24"/>
                <w:szCs w:val="21"/>
              </w:rPr>
              <w:t>超过该值触发告警，需降并发或扩容</w:t>
            </w:r>
          </w:p>
        </w:tc>
        <w:tc>
          <w:tcPr>
            <w:tcW w:w="1077" w:type="pct"/>
            <w:vAlign w:val="center"/>
          </w:tcPr>
          <w:p w14:paraId="7E69A079">
            <w:pPr>
              <w:spacing w:line="320" w:lineRule="exact"/>
              <w:ind w:firstLine="0" w:firstLineChars="0"/>
              <w:jc w:val="center"/>
              <w:rPr>
                <w:sz w:val="24"/>
                <w:szCs w:val="21"/>
              </w:rPr>
            </w:pPr>
            <w:r>
              <w:rPr>
                <w:rFonts w:hint="eastAsia"/>
                <w:sz w:val="24"/>
                <w:szCs w:val="21"/>
              </w:rPr>
              <w:t>85%</w:t>
            </w:r>
          </w:p>
        </w:tc>
      </w:tr>
      <w:tr w14:paraId="6C9D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200" w:type="pct"/>
            <w:vAlign w:val="center"/>
          </w:tcPr>
          <w:p w14:paraId="75F7CAF6">
            <w:pPr>
              <w:spacing w:line="320" w:lineRule="exact"/>
              <w:ind w:firstLine="0" w:firstLineChars="0"/>
              <w:jc w:val="center"/>
              <w:rPr>
                <w:sz w:val="24"/>
                <w:szCs w:val="21"/>
              </w:rPr>
            </w:pPr>
            <w:r>
              <w:rPr>
                <w:rFonts w:hint="eastAsia"/>
                <w:sz w:val="24"/>
                <w:szCs w:val="21"/>
              </w:rPr>
              <w:t>P99延迟警戒线</w:t>
            </w:r>
          </w:p>
        </w:tc>
        <w:tc>
          <w:tcPr>
            <w:tcW w:w="2721" w:type="pct"/>
            <w:vAlign w:val="center"/>
          </w:tcPr>
          <w:p w14:paraId="3384C074">
            <w:pPr>
              <w:spacing w:line="320" w:lineRule="exact"/>
              <w:ind w:firstLine="0" w:firstLineChars="0"/>
              <w:jc w:val="center"/>
              <w:rPr>
                <w:sz w:val="24"/>
                <w:szCs w:val="21"/>
              </w:rPr>
            </w:pPr>
            <w:r>
              <w:rPr>
                <w:rFonts w:hint="eastAsia"/>
                <w:sz w:val="24"/>
                <w:szCs w:val="21"/>
              </w:rPr>
              <w:t>超过该值说明并发压力过大，需降并发</w:t>
            </w:r>
          </w:p>
        </w:tc>
        <w:tc>
          <w:tcPr>
            <w:tcW w:w="1077" w:type="pct"/>
            <w:vAlign w:val="center"/>
          </w:tcPr>
          <w:p w14:paraId="7965101C">
            <w:pPr>
              <w:spacing w:line="320" w:lineRule="exact"/>
              <w:ind w:firstLine="0" w:firstLineChars="0"/>
              <w:jc w:val="center"/>
              <w:rPr>
                <w:sz w:val="24"/>
                <w:szCs w:val="21"/>
              </w:rPr>
            </w:pPr>
            <w:r>
              <w:rPr>
                <w:rFonts w:hint="eastAsia"/>
                <w:sz w:val="24"/>
                <w:szCs w:val="21"/>
              </w:rPr>
              <w:t>500ms</w:t>
            </w:r>
          </w:p>
        </w:tc>
      </w:tr>
      <w:tr w14:paraId="5A15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200" w:type="pct"/>
            <w:vAlign w:val="center"/>
          </w:tcPr>
          <w:p w14:paraId="0A6977F4">
            <w:pPr>
              <w:spacing w:line="380" w:lineRule="exact"/>
              <w:ind w:firstLine="0" w:firstLineChars="0"/>
              <w:jc w:val="center"/>
              <w:rPr>
                <w:sz w:val="24"/>
                <w:szCs w:val="21"/>
              </w:rPr>
            </w:pPr>
            <w:r>
              <w:rPr>
                <w:rFonts w:hint="eastAsia"/>
                <w:sz w:val="24"/>
                <w:szCs w:val="21"/>
              </w:rPr>
              <w:t>动态调整依据</w:t>
            </w:r>
          </w:p>
        </w:tc>
        <w:tc>
          <w:tcPr>
            <w:tcW w:w="2721" w:type="pct"/>
            <w:vAlign w:val="center"/>
          </w:tcPr>
          <w:p w14:paraId="708BEEAC">
            <w:pPr>
              <w:spacing w:line="380" w:lineRule="exact"/>
              <w:ind w:firstLine="0" w:firstLineChars="0"/>
              <w:jc w:val="center"/>
              <w:rPr>
                <w:sz w:val="24"/>
                <w:szCs w:val="21"/>
              </w:rPr>
            </w:pPr>
            <w:r>
              <w:rPr>
                <w:rFonts w:hint="eastAsia"/>
                <w:sz w:val="24"/>
                <w:szCs w:val="21"/>
              </w:rPr>
              <w:t>拒绝率持续偏高→上调；显存利用率长期低于50%→上调</w:t>
            </w:r>
          </w:p>
        </w:tc>
        <w:tc>
          <w:tcPr>
            <w:tcW w:w="1077" w:type="pct"/>
            <w:vAlign w:val="center"/>
          </w:tcPr>
          <w:p w14:paraId="33FCD7C9">
            <w:pPr>
              <w:spacing w:line="380" w:lineRule="exact"/>
              <w:ind w:firstLine="0" w:firstLineChars="0"/>
              <w:jc w:val="center"/>
              <w:rPr>
                <w:sz w:val="24"/>
                <w:szCs w:val="21"/>
              </w:rPr>
            </w:pPr>
            <w:r>
              <w:rPr>
                <w:rFonts w:hint="eastAsia"/>
                <w:sz w:val="24"/>
                <w:szCs w:val="21"/>
              </w:rPr>
              <w:t>每周复盘一次</w:t>
            </w:r>
          </w:p>
        </w:tc>
      </w:tr>
    </w:tbl>
    <w:p w14:paraId="73ABCBF2">
      <w:pPr>
        <w:pStyle w:val="4"/>
        <w:numPr>
          <w:ilvl w:val="0"/>
          <w:numId w:val="2"/>
        </w:numPr>
        <w:ind w:left="0" w:firstLine="643"/>
      </w:pPr>
      <w:bookmarkStart w:id="54" w:name="_Toc32656"/>
      <w:bookmarkStart w:id="55" w:name="_Toc32263"/>
      <w:r>
        <w:rPr>
          <w:rFonts w:hint="eastAsia"/>
        </w:rPr>
        <w:t>缓存复用与语义拦截</w:t>
      </w:r>
      <w:bookmarkEnd w:id="54"/>
      <w:bookmarkEnd w:id="55"/>
    </w:p>
    <w:p w14:paraId="63595A6A">
      <w:pPr>
        <w:ind w:firstLine="640"/>
      </w:pPr>
      <w:r>
        <w:rPr>
          <w:rFonts w:hint="eastAsia"/>
        </w:rPr>
        <w:t>缓存复用与语义拦截是依托语义缓存系统与统一</w:t>
      </w:r>
      <w:r>
        <w:rPr>
          <w:rFonts w:cs="Times New Roman"/>
        </w:rPr>
        <w:t>API</w:t>
      </w:r>
      <w:r>
        <w:rPr>
          <w:rFonts w:hint="eastAsia"/>
        </w:rPr>
        <w:t>网关、场景准入校验引擎的联动能力，在保障业务输出准确性的前提下，前置拦截无效重复请求、复用合规历史推理结果，减少冗余模型调用，实现</w:t>
      </w:r>
      <w:r>
        <w:rPr>
          <w:rFonts w:cs="Times New Roman"/>
        </w:rPr>
        <w:t>Token</w:t>
      </w:r>
      <w:r>
        <w:rPr>
          <w:rFonts w:hint="eastAsia"/>
        </w:rPr>
        <w:t>消耗降低、推理响应提速，为整体资源利用效率提升与成本管控提供前置优化底座。</w:t>
      </w:r>
    </w:p>
    <w:p w14:paraId="7C0ED242">
      <w:pPr>
        <w:ind w:firstLine="643"/>
      </w:pPr>
      <w:r>
        <w:rPr>
          <w:rFonts w:hint="eastAsia"/>
          <w:b/>
          <w:bCs/>
        </w:rPr>
        <w:t>缓存复用与语义拦截应坚持四大原则</w:t>
      </w:r>
      <w:r>
        <w:rPr>
          <w:rFonts w:hint="eastAsia"/>
        </w:rPr>
        <w:t>：一是准确底线优先，缓存匹配与拦截规则以业务输出可靠性为前提，核心生产场景严控相似度阈值与覆盖范围，不得以效能提升为由牺牲结果准确性与业务合规性；二是分级差异适配，匹配场景等级设置差异化管控强度，高价值高风险场景审慎开放权限、严控规则边界，通用办公场景全面覆盖、最大化释放降本效能；三是前置拦截增效，将校验与匹配环节前置至请求进入模型链路之前，从源头过滤无效消耗、复用已有成果，避免无效请求占用后端算力与</w:t>
      </w:r>
      <w:r>
        <w:rPr>
          <w:rFonts w:cs="Times New Roman"/>
        </w:rPr>
        <w:t>Token</w:t>
      </w:r>
      <w:r>
        <w:rPr>
          <w:rFonts w:hint="eastAsia"/>
        </w:rPr>
        <w:t>资源；四是全链闭环管控，建立缓存内容生命周期管理与质量回溯机制，规则迭代联动配额、路由等全链路模块，实现效能数据可统计、规则优化可落地、收益成果可核算。</w:t>
      </w:r>
    </w:p>
    <w:p w14:paraId="4AFB973E">
      <w:pPr>
        <w:ind w:firstLine="643"/>
      </w:pPr>
      <w:r>
        <w:rPr>
          <w:rFonts w:hint="eastAsia"/>
          <w:b/>
          <w:bCs/>
        </w:rPr>
        <w:t>具体来看，在公有云</w:t>
      </w:r>
      <w:r>
        <w:rPr>
          <w:rFonts w:cs="Times New Roman"/>
          <w:b/>
          <w:bCs/>
        </w:rPr>
        <w:t>API</w:t>
      </w:r>
      <w:r>
        <w:rPr>
          <w:rFonts w:hint="eastAsia"/>
          <w:b/>
          <w:bCs/>
        </w:rPr>
        <w:t>模式下</w:t>
      </w:r>
      <w:r>
        <w:rPr>
          <w:rFonts w:hint="eastAsia"/>
        </w:rPr>
        <w:t>，缓存复用与语义拦截以统一调度网关为前置入口，推荐采用“网关拦截+调度层语义缓存”管控方案。所有业务请求统一接入企业</w:t>
      </w:r>
      <w:r>
        <w:rPr>
          <w:rFonts w:cs="Times New Roman"/>
        </w:rPr>
        <w:t>AI</w:t>
      </w:r>
      <w:r>
        <w:rPr>
          <w:rFonts w:hint="eastAsia"/>
        </w:rPr>
        <w:t>调度网关，先由网关侧完成重复提交、格式错误、超范围调用、异常消耗等无效请求的前置拦截，被拦截请求不进入云端调用链路、不产生</w:t>
      </w:r>
      <w:r>
        <w:rPr>
          <w:rFonts w:cs="Times New Roman"/>
        </w:rPr>
        <w:t>Token</w:t>
      </w:r>
      <w:r>
        <w:rPr>
          <w:rFonts w:hint="eastAsia"/>
        </w:rPr>
        <w:t>消耗；通过校验的请求流转至调度层语义缓存系统，按场景等级对应的相似度阈值完成语义匹配，命中缓存的请求直接返回结果，零成本调用云端模型。未命中缓存的正常请求，再由路由引擎分发至对应公有云模型实例，返回结果符合缓存准入规则的自动写入缓存库。</w:t>
      </w:r>
    </w:p>
    <w:p w14:paraId="3074F02C">
      <w:pPr>
        <w:ind w:firstLine="643"/>
      </w:pPr>
      <w:r>
        <w:rPr>
          <w:rFonts w:hint="eastAsia"/>
          <w:b/>
          <w:bCs/>
        </w:rPr>
        <w:t>在本地化部署模式下</w:t>
      </w:r>
      <w:r>
        <w:rPr>
          <w:rFonts w:hint="eastAsia"/>
        </w:rPr>
        <w:t>，企业需建立统一的本地语义缓存与请求拦截体系，将企业工艺标准、设备知识库、管理规则等固化内容纳入基础缓存库，对接内部工艺、质量标准管理系统实现缓存内容同步更新。依托本地统一</w:t>
      </w:r>
      <w:r>
        <w:rPr>
          <w:rFonts w:cs="Times New Roman"/>
        </w:rPr>
        <w:t>API</w:t>
      </w:r>
      <w:r>
        <w:rPr>
          <w:rFonts w:hint="eastAsia"/>
        </w:rPr>
        <w:t>网关与调度平台，在请求进入本地</w:t>
      </w:r>
      <w:r>
        <w:rPr>
          <w:rFonts w:cs="Times New Roman"/>
        </w:rPr>
        <w:t>GPU</w:t>
      </w:r>
      <w:r>
        <w:rPr>
          <w:rFonts w:hint="eastAsia"/>
        </w:rPr>
        <w:t>推理集群前完成无效请求拦截与语义缓存匹配，命中缓存的请求直接返回，不占用本地模型算力资源；同时结合场景分级设置差异化匹配精度，核心生产场景对接实时业务系统做版本校验，保障结果与现行规则一致。</w:t>
      </w:r>
    </w:p>
    <w:p w14:paraId="18AC3433">
      <w:pPr>
        <w:ind w:firstLine="0" w:firstLineChars="0"/>
        <w:jc w:val="center"/>
        <w:rPr>
          <w:rFonts w:hint="eastAsia" w:ascii="黑体" w:hAnsi="黑体" w:eastAsia="黑体" w:cs="黑体"/>
          <w:sz w:val="24"/>
          <w:szCs w:val="21"/>
        </w:rPr>
      </w:pPr>
    </w:p>
    <w:p w14:paraId="270A8946">
      <w:pPr>
        <w:ind w:firstLine="0" w:firstLineChars="0"/>
        <w:jc w:val="center"/>
        <w:rPr>
          <w:rFonts w:hint="default" w:ascii="Times New Roman" w:hAnsi="Times New Roman" w:eastAsia="方正黑体_GBK" w:cs="Times New Roman"/>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7</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分级缓存命中率基线设置建议</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3"/>
        <w:gridCol w:w="1500"/>
        <w:gridCol w:w="1845"/>
        <w:gridCol w:w="2226"/>
      </w:tblGrid>
      <w:tr w14:paraId="646B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tcPr>
          <w:p w14:paraId="460BCF66">
            <w:pPr>
              <w:widowControl/>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场景类型</w:t>
            </w:r>
          </w:p>
        </w:tc>
        <w:tc>
          <w:tcPr>
            <w:tcW w:w="1500" w:type="dxa"/>
          </w:tcPr>
          <w:p w14:paraId="39211A5F">
            <w:pPr>
              <w:widowControl/>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命中率基线</w:t>
            </w:r>
          </w:p>
        </w:tc>
        <w:tc>
          <w:tcPr>
            <w:tcW w:w="1845" w:type="dxa"/>
          </w:tcPr>
          <w:p w14:paraId="35F936CF">
            <w:pPr>
              <w:widowControl/>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告警阈值</w:t>
            </w:r>
          </w:p>
        </w:tc>
        <w:tc>
          <w:tcPr>
            <w:tcW w:w="2226" w:type="dxa"/>
          </w:tcPr>
          <w:p w14:paraId="1C441065">
            <w:pPr>
              <w:widowControl/>
              <w:spacing w:line="380" w:lineRule="exact"/>
              <w:ind w:firstLine="0" w:firstLineChars="0"/>
              <w:jc w:val="center"/>
              <w:rPr>
                <w:rFonts w:hint="eastAsia" w:ascii="方正黑体_GBK" w:hAnsi="方正黑体_GBK" w:eastAsia="方正黑体_GBK" w:cs="方正黑体_GBK"/>
                <w:b w:val="0"/>
                <w:bCs w:val="0"/>
                <w:sz w:val="24"/>
                <w:szCs w:val="21"/>
              </w:rPr>
            </w:pPr>
            <w:r>
              <w:rPr>
                <w:rFonts w:hint="eastAsia" w:ascii="方正黑体_GBK" w:hAnsi="方正黑体_GBK" w:eastAsia="方正黑体_GBK" w:cs="方正黑体_GBK"/>
                <w:b w:val="0"/>
                <w:bCs w:val="0"/>
                <w:sz w:val="24"/>
                <w:szCs w:val="21"/>
              </w:rPr>
              <w:t>说明</w:t>
            </w:r>
          </w:p>
        </w:tc>
      </w:tr>
      <w:tr w14:paraId="55FD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vAlign w:val="center"/>
          </w:tcPr>
          <w:p w14:paraId="4A19338D">
            <w:pPr>
              <w:widowControl/>
              <w:spacing w:line="380" w:lineRule="exact"/>
              <w:ind w:firstLine="0" w:firstLineChars="0"/>
              <w:jc w:val="center"/>
              <w:rPr>
                <w:sz w:val="24"/>
                <w:szCs w:val="21"/>
              </w:rPr>
            </w:pPr>
            <w:r>
              <w:rPr>
                <w:rFonts w:hint="eastAsia"/>
                <w:sz w:val="24"/>
                <w:szCs w:val="21"/>
              </w:rPr>
              <w:t>高频标准化场景</w:t>
            </w:r>
          </w:p>
          <w:p w14:paraId="3098583F">
            <w:pPr>
              <w:widowControl/>
              <w:spacing w:line="380" w:lineRule="exact"/>
              <w:ind w:firstLine="0" w:firstLineChars="0"/>
              <w:jc w:val="center"/>
              <w:rPr>
                <w:sz w:val="24"/>
                <w:szCs w:val="21"/>
              </w:rPr>
            </w:pPr>
            <w:r>
              <w:rPr>
                <w:rFonts w:hint="eastAsia"/>
                <w:sz w:val="24"/>
                <w:szCs w:val="21"/>
              </w:rPr>
              <w:t>（如质检、FAQ客服）</w:t>
            </w:r>
          </w:p>
        </w:tc>
        <w:tc>
          <w:tcPr>
            <w:tcW w:w="1500" w:type="dxa"/>
            <w:vAlign w:val="center"/>
          </w:tcPr>
          <w:p w14:paraId="7D62A7E4">
            <w:pPr>
              <w:widowControl/>
              <w:spacing w:line="380" w:lineRule="exact"/>
              <w:ind w:firstLine="0" w:firstLineChars="0"/>
              <w:jc w:val="center"/>
              <w:rPr>
                <w:sz w:val="24"/>
                <w:szCs w:val="21"/>
              </w:rPr>
            </w:pPr>
            <w:r>
              <w:rPr>
                <w:rFonts w:hint="eastAsia"/>
                <w:sz w:val="24"/>
                <w:szCs w:val="21"/>
              </w:rPr>
              <w:t>≥75%</w:t>
            </w:r>
          </w:p>
        </w:tc>
        <w:tc>
          <w:tcPr>
            <w:tcW w:w="1845" w:type="dxa"/>
            <w:vAlign w:val="center"/>
          </w:tcPr>
          <w:p w14:paraId="7A1D7168">
            <w:pPr>
              <w:widowControl/>
              <w:spacing w:line="380" w:lineRule="exact"/>
              <w:ind w:firstLine="0" w:firstLineChars="0"/>
              <w:jc w:val="center"/>
              <w:rPr>
                <w:sz w:val="24"/>
                <w:szCs w:val="21"/>
              </w:rPr>
            </w:pPr>
            <w:r>
              <w:rPr>
                <w:rFonts w:hint="eastAsia"/>
                <w:sz w:val="24"/>
                <w:szCs w:val="21"/>
              </w:rPr>
              <w:t>&lt;60%触发告警</w:t>
            </w:r>
          </w:p>
        </w:tc>
        <w:tc>
          <w:tcPr>
            <w:tcW w:w="2226" w:type="dxa"/>
            <w:vAlign w:val="center"/>
          </w:tcPr>
          <w:p w14:paraId="6B8C61A2">
            <w:pPr>
              <w:widowControl/>
              <w:spacing w:line="380" w:lineRule="exact"/>
              <w:ind w:firstLine="0" w:firstLineChars="0"/>
              <w:jc w:val="center"/>
              <w:rPr>
                <w:sz w:val="24"/>
                <w:szCs w:val="21"/>
              </w:rPr>
            </w:pPr>
            <w:r>
              <w:rPr>
                <w:rFonts w:hint="eastAsia"/>
                <w:sz w:val="24"/>
                <w:szCs w:val="21"/>
              </w:rPr>
              <w:t>静态Prompt占比高，优化空间大</w:t>
            </w:r>
          </w:p>
        </w:tc>
      </w:tr>
      <w:tr w14:paraId="7AC4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vAlign w:val="center"/>
          </w:tcPr>
          <w:p w14:paraId="4819012C">
            <w:pPr>
              <w:widowControl/>
              <w:spacing w:line="380" w:lineRule="exact"/>
              <w:ind w:firstLine="0" w:firstLineChars="0"/>
              <w:jc w:val="center"/>
              <w:rPr>
                <w:sz w:val="24"/>
                <w:szCs w:val="21"/>
              </w:rPr>
            </w:pPr>
            <w:r>
              <w:rPr>
                <w:rFonts w:hint="eastAsia"/>
                <w:sz w:val="24"/>
                <w:szCs w:val="21"/>
              </w:rPr>
              <w:t>中频专业场景</w:t>
            </w:r>
          </w:p>
          <w:p w14:paraId="5E2FF331">
            <w:pPr>
              <w:widowControl/>
              <w:spacing w:line="380" w:lineRule="exact"/>
              <w:ind w:firstLine="0" w:firstLineChars="0"/>
              <w:jc w:val="center"/>
              <w:rPr>
                <w:sz w:val="24"/>
                <w:szCs w:val="21"/>
              </w:rPr>
            </w:pPr>
            <w:r>
              <w:rPr>
                <w:rFonts w:hint="eastAsia"/>
                <w:sz w:val="24"/>
                <w:szCs w:val="21"/>
              </w:rPr>
              <w:t>（如工艺知识库、排产）</w:t>
            </w:r>
          </w:p>
        </w:tc>
        <w:tc>
          <w:tcPr>
            <w:tcW w:w="1500" w:type="dxa"/>
            <w:vAlign w:val="center"/>
          </w:tcPr>
          <w:p w14:paraId="3EEF594F">
            <w:pPr>
              <w:widowControl/>
              <w:spacing w:line="380" w:lineRule="exact"/>
              <w:ind w:firstLine="0" w:firstLineChars="0"/>
              <w:jc w:val="center"/>
              <w:rPr>
                <w:sz w:val="24"/>
                <w:szCs w:val="21"/>
              </w:rPr>
            </w:pPr>
            <w:r>
              <w:rPr>
                <w:rFonts w:hint="eastAsia"/>
                <w:sz w:val="24"/>
                <w:szCs w:val="21"/>
              </w:rPr>
              <w:t>≥50%</w:t>
            </w:r>
          </w:p>
        </w:tc>
        <w:tc>
          <w:tcPr>
            <w:tcW w:w="1845" w:type="dxa"/>
            <w:vAlign w:val="center"/>
          </w:tcPr>
          <w:p w14:paraId="6C699FD3">
            <w:pPr>
              <w:widowControl/>
              <w:spacing w:line="380" w:lineRule="exact"/>
              <w:ind w:firstLine="0" w:firstLineChars="0"/>
              <w:jc w:val="center"/>
              <w:rPr>
                <w:sz w:val="24"/>
                <w:szCs w:val="21"/>
              </w:rPr>
            </w:pPr>
            <w:r>
              <w:rPr>
                <w:rFonts w:hint="eastAsia"/>
                <w:sz w:val="24"/>
                <w:szCs w:val="21"/>
              </w:rPr>
              <w:t>&lt;35%触发告警</w:t>
            </w:r>
          </w:p>
        </w:tc>
        <w:tc>
          <w:tcPr>
            <w:tcW w:w="2226" w:type="dxa"/>
            <w:vAlign w:val="center"/>
          </w:tcPr>
          <w:p w14:paraId="4C47F4AB">
            <w:pPr>
              <w:widowControl/>
              <w:spacing w:line="380" w:lineRule="exact"/>
              <w:ind w:firstLine="0" w:firstLineChars="0"/>
              <w:jc w:val="center"/>
              <w:rPr>
                <w:sz w:val="24"/>
                <w:szCs w:val="21"/>
              </w:rPr>
            </w:pPr>
            <w:r>
              <w:rPr>
                <w:rFonts w:hint="eastAsia"/>
                <w:sz w:val="24"/>
                <w:szCs w:val="21"/>
              </w:rPr>
              <w:t>有一定重复度，但动态内容较多</w:t>
            </w:r>
          </w:p>
        </w:tc>
      </w:tr>
      <w:tr w14:paraId="6206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vAlign w:val="center"/>
          </w:tcPr>
          <w:p w14:paraId="0C6E2335">
            <w:pPr>
              <w:widowControl/>
              <w:spacing w:line="380" w:lineRule="exact"/>
              <w:ind w:firstLine="0" w:firstLineChars="0"/>
              <w:jc w:val="center"/>
              <w:rPr>
                <w:sz w:val="24"/>
                <w:szCs w:val="21"/>
              </w:rPr>
            </w:pPr>
            <w:r>
              <w:rPr>
                <w:rFonts w:hint="eastAsia"/>
                <w:sz w:val="24"/>
                <w:szCs w:val="21"/>
              </w:rPr>
              <w:t>低频个性化场景</w:t>
            </w:r>
          </w:p>
          <w:p w14:paraId="629DFC6E">
            <w:pPr>
              <w:widowControl/>
              <w:spacing w:line="380" w:lineRule="exact"/>
              <w:ind w:firstLine="0" w:firstLineChars="0"/>
              <w:jc w:val="center"/>
              <w:rPr>
                <w:sz w:val="24"/>
                <w:szCs w:val="21"/>
              </w:rPr>
            </w:pPr>
            <w:r>
              <w:rPr>
                <w:rFonts w:hint="eastAsia"/>
                <w:sz w:val="24"/>
                <w:szCs w:val="21"/>
              </w:rPr>
              <w:t>（如故障诊断、异常分析）</w:t>
            </w:r>
          </w:p>
        </w:tc>
        <w:tc>
          <w:tcPr>
            <w:tcW w:w="1500" w:type="dxa"/>
            <w:vAlign w:val="center"/>
          </w:tcPr>
          <w:p w14:paraId="37D9C5E1">
            <w:pPr>
              <w:widowControl/>
              <w:spacing w:line="380" w:lineRule="exact"/>
              <w:ind w:firstLine="0" w:firstLineChars="0"/>
              <w:jc w:val="center"/>
              <w:rPr>
                <w:sz w:val="24"/>
                <w:szCs w:val="21"/>
              </w:rPr>
            </w:pPr>
            <w:r>
              <w:rPr>
                <w:rFonts w:hint="eastAsia"/>
                <w:sz w:val="24"/>
                <w:szCs w:val="21"/>
              </w:rPr>
              <w:t>≥30%</w:t>
            </w:r>
          </w:p>
        </w:tc>
        <w:tc>
          <w:tcPr>
            <w:tcW w:w="1845" w:type="dxa"/>
            <w:vAlign w:val="center"/>
          </w:tcPr>
          <w:p w14:paraId="09011030">
            <w:pPr>
              <w:widowControl/>
              <w:spacing w:line="380" w:lineRule="exact"/>
              <w:ind w:firstLine="0" w:firstLineChars="0"/>
              <w:jc w:val="center"/>
              <w:rPr>
                <w:sz w:val="24"/>
                <w:szCs w:val="21"/>
              </w:rPr>
            </w:pPr>
            <w:r>
              <w:rPr>
                <w:rFonts w:hint="eastAsia"/>
                <w:sz w:val="24"/>
                <w:szCs w:val="21"/>
              </w:rPr>
              <w:t>&lt;15%触发告警</w:t>
            </w:r>
          </w:p>
        </w:tc>
        <w:tc>
          <w:tcPr>
            <w:tcW w:w="2226" w:type="dxa"/>
            <w:vAlign w:val="center"/>
          </w:tcPr>
          <w:p w14:paraId="57D1552D">
            <w:pPr>
              <w:widowControl/>
              <w:spacing w:line="380" w:lineRule="exact"/>
              <w:ind w:firstLine="0" w:firstLineChars="0"/>
              <w:jc w:val="center"/>
              <w:rPr>
                <w:sz w:val="24"/>
                <w:szCs w:val="21"/>
              </w:rPr>
            </w:pPr>
            <w:r>
              <w:rPr>
                <w:rFonts w:hint="eastAsia"/>
                <w:sz w:val="24"/>
                <w:szCs w:val="21"/>
              </w:rPr>
              <w:t>问题个性化强，命中率天然偏低</w:t>
            </w:r>
          </w:p>
        </w:tc>
      </w:tr>
    </w:tbl>
    <w:p w14:paraId="78D67163">
      <w:pPr>
        <w:pStyle w:val="4"/>
        <w:numPr>
          <w:ilvl w:val="0"/>
          <w:numId w:val="2"/>
        </w:numPr>
        <w:ind w:left="0" w:firstLine="643"/>
      </w:pPr>
      <w:bookmarkStart w:id="56" w:name="_Toc3600"/>
      <w:bookmarkStart w:id="57" w:name="_Toc17877"/>
      <w:r>
        <w:rPr>
          <w:rFonts w:hint="eastAsia"/>
        </w:rPr>
        <w:t>余量调配与弹性扩缩容</w:t>
      </w:r>
      <w:bookmarkEnd w:id="56"/>
      <w:bookmarkEnd w:id="57"/>
    </w:p>
    <w:p w14:paraId="360A3582">
      <w:pPr>
        <w:ind w:firstLine="640"/>
      </w:pPr>
      <w:r>
        <w:rPr>
          <w:rFonts w:hint="eastAsia"/>
        </w:rPr>
        <w:t>余量调配与弹性扩缩容的主要目的是避免核心业务因算力挤占而卡顿，同时消除非核心业务闲时的算力空转。企业应基于历史运行数据，对调度策略进行动态调优，遵循三大原则：一是全局统筹，按需调度，打破部门壁垒；二是削峰填谷，时空错峰，最大化激活闲置算力；三是底线保障，敏捷响应，实现资源供给对业务波动的自适应匹配。</w:t>
      </w:r>
    </w:p>
    <w:p w14:paraId="0D10DD19">
      <w:pPr>
        <w:ind w:firstLine="643"/>
      </w:pPr>
      <w:r>
        <w:rPr>
          <w:rFonts w:hint="eastAsia"/>
          <w:b/>
          <w:bCs/>
        </w:rPr>
        <w:t>公有云API模式下</w:t>
      </w:r>
      <w:r>
        <w:rPr>
          <w:rFonts w:hint="eastAsia"/>
        </w:rPr>
        <w:t>，企业可依托统一API网关，将统采的API资源池化，实现余量动态调配与弹性扩缩容。余量调配方面，网关将全局Token与并发余量集中管理，结合业务优先级智能调度：优先保障核心产线质检等关键任务；在突发场景下，自动跨部门借用闲置余量以削峰填谷；并将非紧急批处理任务错峰至夜间执行，最大化资源利用率。弹性扩缩容方面，网关通过监控队列深度与响应延迟，在流量超载时自动触发多Key分流或向云厂商申请提升并发配额；同时在非工作时间主动调低并发限制，以防范异常请求引发的系统雪崩与预算失控。当全局余量不足时，系统可无缝对接云厂商弹性API按量扩容，峰值后自动缩容，最终实现保障业务连续性与降低整体IT成本的双赢。</w:t>
      </w:r>
    </w:p>
    <w:p w14:paraId="6C678FF2">
      <w:pPr>
        <w:ind w:firstLine="643"/>
      </w:pPr>
      <w:r>
        <w:rPr>
          <w:rFonts w:hint="eastAsia"/>
          <w:b/>
          <w:bCs/>
        </w:rPr>
        <w:t>本地私有化部署模式下，</w:t>
      </w:r>
      <w:r>
        <w:rPr>
          <w:rFonts w:hint="eastAsia"/>
        </w:rPr>
        <w:t>企业拥有算力基础设施的绝对控制权，其资源调配的本质是底层物理硬件——GPU显存与算力的精细化分配与动态调度。余量调配方面，企业需依托容器编排平台构建统一的GPU资源池。结合制造业的生产节拍与业务优先级，实施空间隔离与时间错峰：白天将算力余量优先倾斜给产线质检、设备控制等实时性要求高的核心生产业务；夜间则释放闲置算力，集中调度用于工业仿真、自动驾驶模型训练或全量数据清洗等重计算批量作业，实现“昼推夜训”的算力闭环。弹性扩缩容方面，由于无法像公有云那样秒级调用外部资源，企业需采取“预调度+边云协同+区域算力溢出”三级弹性策略。第一层，基于历史生产曲线提前预留算力，避免突发流量导致的响应延迟；第二层，将实时控制逻辑下沉至工厂边缘节点，边缘节点具备断网自治能力，在网络中断时仍可独立支撑本地生产运转，云端仅处理全局排产与数据分析，从架构层面缓解中心算力压力。第三层，企业在本地预留标准化对接接口，当本地集群资源触及瓶颈、物理节点横向扩容已无法及时满足需求时，系统可通过混合调度机制将溢出任务自动引导至区域算力平台，形成“本地优先、区域平台兜底”的弹性溢出模式。智能路由层根据负载情况动态决定请求在本地与区域平台之间分配，扩容时优先调度到本地节点、资源不足时自动溢出到区域算力平台，缩容时则优先释放外部资源、保留本地资源，从而在不中断服务的前提下突破物理资源的弹性天花板。</w:t>
      </w:r>
    </w:p>
    <w:p w14:paraId="2047A6BD">
      <w:pPr>
        <w:pStyle w:val="4"/>
        <w:numPr>
          <w:ilvl w:val="0"/>
          <w:numId w:val="2"/>
        </w:numPr>
        <w:ind w:left="0" w:firstLine="643"/>
      </w:pPr>
      <w:bookmarkStart w:id="58" w:name="_Toc11625"/>
      <w:bookmarkStart w:id="59" w:name="_Toc8698"/>
      <w:r>
        <w:rPr>
          <w:rFonts w:hint="eastAsia"/>
        </w:rPr>
        <w:t>数据合规与脱敏</w:t>
      </w:r>
      <w:bookmarkEnd w:id="58"/>
      <w:bookmarkEnd w:id="59"/>
    </w:p>
    <w:p w14:paraId="49B9DA93">
      <w:pPr>
        <w:ind w:firstLine="640"/>
      </w:pPr>
      <w:r>
        <w:rPr>
          <w:rFonts w:hint="eastAsia"/>
        </w:rPr>
        <w:t>数据合规与脱敏是依托敏感数据脱敏引擎、内容安全审核模块与数据流转边界管控组件，串接模型调用全链路输入、输出、流转关键节点，实时开展敏感数据识别、脱敏处理、合规校验与边界管控，在模型调用全过程严守数据安全边界，防范敏感生产与经营数据外泄，为工业数据安全合规与风险闭环管控提供安全底座。</w:t>
      </w:r>
    </w:p>
    <w:p w14:paraId="52A089AD">
      <w:pPr>
        <w:ind w:firstLine="643"/>
      </w:pPr>
      <w:r>
        <w:rPr>
          <w:rFonts w:hint="eastAsia"/>
          <w:b/>
          <w:bCs/>
        </w:rPr>
        <w:t>数据合规与脱敏应坚持四大原则</w:t>
      </w:r>
      <w:r>
        <w:rPr>
          <w:rFonts w:hint="eastAsia"/>
        </w:rPr>
        <w:t>：一是边界刚性约束，数据流转严格匹配部署模式安全域边界，核心敏感数据严禁跨域出网，安全约束一票否决所有非合规数据传输路径；二是分级强度适配，匹配场景等级与数据敏感等级设置差异化脱敏审核强度，核心生产场景执行最高等级管控，不得以业务便利降低合规标准；三是全链路节点校验，覆盖输入侧、输出侧、流转侧全节点闭环管控，实现入模合规、出模安全、流转可控，杜绝风险漏点；四是审计联动追溯，全量合规操作留痕并支持全链路溯源，规则迭代联动场景准入、配额管控模块，形成风险识别—处置—优化的闭环管理。</w:t>
      </w:r>
    </w:p>
    <w:p w14:paraId="6D621F82">
      <w:pPr>
        <w:ind w:firstLine="643"/>
      </w:pPr>
      <w:r>
        <w:rPr>
          <w:rFonts w:hint="eastAsia"/>
          <w:b/>
          <w:bCs/>
        </w:rPr>
        <w:t>具体来看，在公有云</w:t>
      </w:r>
      <w:r>
        <w:rPr>
          <w:rFonts w:cs="Times New Roman"/>
          <w:b/>
          <w:bCs/>
        </w:rPr>
        <w:t>API</w:t>
      </w:r>
      <w:r>
        <w:rPr>
          <w:rFonts w:hint="eastAsia"/>
          <w:b/>
          <w:bCs/>
        </w:rPr>
        <w:t>模式下</w:t>
      </w:r>
      <w:r>
        <w:rPr>
          <w:rFonts w:hint="eastAsia"/>
        </w:rPr>
        <w:t>，数据合规脱敏以统一调度网关为前置安全卡口，推荐采用“集成接口前置脱敏+分层约束+输出侧二次校验+本地化审计”管控方案。所有经由SAP、MES等业务系统集成接口输出、发往公有云模型的单据、工艺数据，统一接入调度网关，先对系统集成原始数据执行标准化脱敏，对完整工艺配方、SAP成本单据等不可脱敏内容直接阻断，禁止编码Token上传云端；云端缓存、推理上下文按研发、生产、仓储、采购、质量、运维多业务维度分层隔离存储，高涉密研发工艺、核心产线参数类Token设置短时内存缓存时效，到期自动清理销毁；模型输出含工艺方案、采购报表的Token经内容审核，屏蔽单据定价、加工参数后再回传给工业系统集成接口；第三方联网检索、外部测算插件、跨厂区跨租户云传输环节自动剥离图纸涉密特征、工艺配比、财务核算、供应商敏感信息类Token片段；全量系统集成调用、单据/工艺数据传输、Token生成缓存销毁、脱敏拦截等操作审计日志全部本地化持久留存，审计数据不随业务Token同步上传公有云。</w:t>
      </w:r>
    </w:p>
    <w:p w14:paraId="3127001F">
      <w:pPr>
        <w:ind w:firstLine="643"/>
      </w:pPr>
      <w:r>
        <w:rPr>
          <w:rFonts w:hint="eastAsia"/>
          <w:b/>
          <w:bCs/>
        </w:rPr>
        <w:t>在本地化部署模式下</w:t>
      </w:r>
      <w:r>
        <w:rPr>
          <w:rFonts w:hint="eastAsia"/>
        </w:rPr>
        <w:t>，企业需建立统一的本地Token安全合规体系，将承载SAP、MES等核心业务系统的生产控制网、办公分析网、外联网划分为独立安全域，配置工业系统集成跨域强管控规则，MES核心工艺、涉密生产单据仅在生产控制网集成链路闭环流转，严禁向外网传输。依托本地脱敏引擎对接业务系统底层集成通道，针对工业单据、工艺数据等敏感数据配置差异化脱敏策略，实时产线工艺集成采用旁路脱敏不占用生产带宽；所有跨安全域同步的图纸、工艺、采购、质检类Token必须经过域间集成校验节点，未脱敏直接阻断；敏感数据批量离线任务单独隔离调度；全部系统集成交互、单据/工艺传输、Token脱敏销毁操作写入本地防篡改审计日志，留存周期满足行业监管，配套工艺泄密、单据数据外泄专项溯源追责机制。</w:t>
      </w:r>
    </w:p>
    <w:p w14:paraId="32794E33">
      <w:pPr>
        <w:ind w:firstLine="640"/>
      </w:pPr>
      <w:r>
        <w:rPr>
          <w:rFonts w:hint="eastAsia"/>
        </w:rPr>
        <w:t>针对制造业生产经营数据特征，适配</w:t>
      </w:r>
      <w:r>
        <w:rPr>
          <w:rFonts w:cs="Times New Roman"/>
        </w:rPr>
        <w:t>Token</w:t>
      </w:r>
      <w:r>
        <w:rPr>
          <w:rFonts w:hint="eastAsia"/>
        </w:rPr>
        <w:t>管理全链路的核心脱敏手段如下表所示。</w:t>
      </w:r>
    </w:p>
    <w:p w14:paraId="769BE01D">
      <w:pPr>
        <w:ind w:firstLine="0" w:firstLineChars="0"/>
        <w:jc w:val="center"/>
        <w:rPr>
          <w:rFonts w:hint="default" w:ascii="Times New Roman" w:hAnsi="Times New Roman" w:eastAsia="方正黑体_GBK" w:cs="Times New Roman"/>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8</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Token管理全链路的核心脱敏手段</w:t>
      </w:r>
    </w:p>
    <w:tbl>
      <w:tblPr>
        <w:tblStyle w:val="25"/>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06"/>
        <w:gridCol w:w="1385"/>
        <w:gridCol w:w="1769"/>
        <w:gridCol w:w="1650"/>
        <w:gridCol w:w="3445"/>
      </w:tblGrid>
      <w:tr w14:paraId="2BA7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445" w:type="pct"/>
            <w:tcMar>
              <w:top w:w="80" w:type="dxa"/>
              <w:left w:w="80" w:type="dxa"/>
              <w:bottom w:w="80" w:type="dxa"/>
              <w:right w:w="80" w:type="dxa"/>
            </w:tcMar>
            <w:vAlign w:val="center"/>
          </w:tcPr>
          <w:p w14:paraId="0BC100CB">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序号</w:t>
            </w:r>
          </w:p>
        </w:tc>
        <w:tc>
          <w:tcPr>
            <w:tcW w:w="764" w:type="pct"/>
            <w:tcMar>
              <w:top w:w="80" w:type="dxa"/>
              <w:left w:w="80" w:type="dxa"/>
              <w:bottom w:w="80" w:type="dxa"/>
              <w:right w:w="80" w:type="dxa"/>
            </w:tcMar>
            <w:vAlign w:val="center"/>
          </w:tcPr>
          <w:p w14:paraId="0E74A883">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流程环节</w:t>
            </w:r>
          </w:p>
        </w:tc>
        <w:tc>
          <w:tcPr>
            <w:tcW w:w="976" w:type="pct"/>
            <w:tcMar>
              <w:top w:w="80" w:type="dxa"/>
              <w:left w:w="80" w:type="dxa"/>
              <w:bottom w:w="80" w:type="dxa"/>
              <w:right w:w="80" w:type="dxa"/>
            </w:tcMar>
            <w:vAlign w:val="center"/>
          </w:tcPr>
          <w:p w14:paraId="554A1623">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承载对象</w:t>
            </w:r>
          </w:p>
        </w:tc>
        <w:tc>
          <w:tcPr>
            <w:tcW w:w="911" w:type="pct"/>
            <w:tcMar>
              <w:top w:w="80" w:type="dxa"/>
              <w:left w:w="80" w:type="dxa"/>
              <w:bottom w:w="80" w:type="dxa"/>
              <w:right w:w="80" w:type="dxa"/>
            </w:tcMar>
            <w:vAlign w:val="center"/>
          </w:tcPr>
          <w:p w14:paraId="50EEB048">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合规脱敏手段</w:t>
            </w:r>
          </w:p>
        </w:tc>
        <w:tc>
          <w:tcPr>
            <w:tcW w:w="1901" w:type="pct"/>
            <w:tcMar>
              <w:top w:w="80" w:type="dxa"/>
              <w:left w:w="80" w:type="dxa"/>
              <w:bottom w:w="80" w:type="dxa"/>
              <w:right w:w="80" w:type="dxa"/>
            </w:tcMar>
            <w:vAlign w:val="center"/>
          </w:tcPr>
          <w:p w14:paraId="3A22594D">
            <w:pPr>
              <w:spacing w:line="300" w:lineRule="exact"/>
              <w:ind w:firstLine="0" w:firstLineChars="0"/>
              <w:jc w:val="center"/>
              <w:rPr>
                <w:rFonts w:hint="eastAsia" w:ascii="方正黑体_GBK" w:hAnsi="方正黑体_GBK" w:eastAsia="方正黑体_GBK" w:cs="方正黑体_GBK"/>
                <w:sz w:val="22"/>
                <w:szCs w:val="22"/>
              </w:rPr>
            </w:pPr>
            <w:r>
              <w:rPr>
                <w:rFonts w:hint="eastAsia" w:ascii="方正黑体_GBK" w:hAnsi="方正黑体_GBK" w:eastAsia="方正黑体_GBK" w:cs="方正黑体_GBK"/>
                <w:kern w:val="0"/>
                <w:sz w:val="22"/>
                <w:szCs w:val="22"/>
                <w:lang w:bidi="ar"/>
              </w:rPr>
              <w:t>手段说明</w:t>
            </w:r>
          </w:p>
        </w:tc>
      </w:tr>
      <w:tr w14:paraId="3282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6C74B4E0">
            <w:pPr>
              <w:spacing w:line="300" w:lineRule="exact"/>
              <w:ind w:firstLine="0" w:firstLineChars="0"/>
              <w:jc w:val="center"/>
              <w:rPr>
                <w:rFonts w:cs="Times New Roman"/>
                <w:sz w:val="21"/>
                <w:szCs w:val="21"/>
              </w:rPr>
            </w:pPr>
            <w:r>
              <w:rPr>
                <w:rFonts w:cs="Times New Roman"/>
                <w:kern w:val="0"/>
                <w:sz w:val="21"/>
                <w:szCs w:val="21"/>
                <w:lang w:bidi="ar"/>
              </w:rPr>
              <w:t>1</w:t>
            </w:r>
          </w:p>
        </w:tc>
        <w:tc>
          <w:tcPr>
            <w:tcW w:w="764" w:type="pct"/>
            <w:vMerge w:val="restart"/>
            <w:tcMar>
              <w:top w:w="80" w:type="dxa"/>
              <w:left w:w="80" w:type="dxa"/>
              <w:bottom w:w="80" w:type="dxa"/>
              <w:right w:w="80" w:type="dxa"/>
            </w:tcMar>
            <w:vAlign w:val="center"/>
          </w:tcPr>
          <w:p w14:paraId="27FCC4CA">
            <w:pPr>
              <w:spacing w:line="300" w:lineRule="exact"/>
              <w:ind w:firstLine="0" w:firstLineChars="0"/>
              <w:jc w:val="center"/>
              <w:rPr>
                <w:rFonts w:cs="Times New Roman"/>
                <w:sz w:val="21"/>
                <w:szCs w:val="21"/>
              </w:rPr>
            </w:pPr>
            <w:r>
              <w:rPr>
                <w:rFonts w:cs="Times New Roman"/>
                <w:kern w:val="0"/>
                <w:sz w:val="21"/>
                <w:szCs w:val="21"/>
                <w:lang w:bidi="ar"/>
              </w:rPr>
              <w:t>业务数据源接入环节</w:t>
            </w:r>
          </w:p>
        </w:tc>
        <w:tc>
          <w:tcPr>
            <w:tcW w:w="976" w:type="pct"/>
            <w:vMerge w:val="restart"/>
            <w:tcMar>
              <w:top w:w="80" w:type="dxa"/>
              <w:left w:w="80" w:type="dxa"/>
              <w:bottom w:w="80" w:type="dxa"/>
              <w:right w:w="80" w:type="dxa"/>
            </w:tcMar>
            <w:vAlign w:val="center"/>
          </w:tcPr>
          <w:p w14:paraId="0D30B826">
            <w:pPr>
              <w:spacing w:line="300" w:lineRule="exact"/>
              <w:ind w:firstLine="0" w:firstLineChars="0"/>
              <w:jc w:val="left"/>
              <w:rPr>
                <w:rFonts w:hint="eastAsia" w:ascii="方正仿宋_GBK" w:hAnsi="方正仿宋_GBK" w:cs="方正仿宋_GBK"/>
                <w:sz w:val="21"/>
                <w:szCs w:val="21"/>
              </w:rPr>
            </w:pPr>
            <w:r>
              <w:rPr>
                <w:rFonts w:cs="Times New Roman"/>
                <w:kern w:val="0"/>
                <w:sz w:val="21"/>
                <w:szCs w:val="21"/>
                <w:lang w:bidi="ar"/>
              </w:rPr>
              <w:t>SAP</w:t>
            </w:r>
            <w:r>
              <w:rPr>
                <w:rFonts w:hint="eastAsia" w:ascii="方正仿宋_GBK" w:hAnsi="方正仿宋_GBK" w:cs="方正仿宋_GBK"/>
                <w:kern w:val="0"/>
                <w:sz w:val="21"/>
                <w:szCs w:val="21"/>
                <w:lang w:bidi="ar"/>
              </w:rPr>
              <w:t>财务/采购、</w:t>
            </w:r>
            <w:r>
              <w:rPr>
                <w:rFonts w:cs="Times New Roman"/>
                <w:kern w:val="0"/>
                <w:sz w:val="21"/>
                <w:szCs w:val="21"/>
                <w:lang w:bidi="ar"/>
              </w:rPr>
              <w:t>MES</w:t>
            </w:r>
            <w:r>
              <w:rPr>
                <w:rFonts w:hint="eastAsia" w:ascii="方正仿宋_GBK" w:hAnsi="方正仿宋_GBK" w:cs="方正仿宋_GBK"/>
                <w:kern w:val="0"/>
                <w:sz w:val="21"/>
                <w:szCs w:val="21"/>
                <w:lang w:bidi="ar"/>
              </w:rPr>
              <w:t>工序/批次、</w:t>
            </w:r>
            <w:r>
              <w:rPr>
                <w:rFonts w:cs="Times New Roman"/>
                <w:kern w:val="0"/>
                <w:sz w:val="21"/>
                <w:szCs w:val="21"/>
                <w:lang w:bidi="ar"/>
              </w:rPr>
              <w:t>PLM</w:t>
            </w:r>
            <w:r>
              <w:rPr>
                <w:rFonts w:hint="eastAsia" w:ascii="方正仿宋_GBK" w:hAnsi="方正仿宋_GBK" w:cs="方正仿宋_GBK"/>
                <w:kern w:val="0"/>
                <w:sz w:val="21"/>
                <w:szCs w:val="21"/>
                <w:lang w:bidi="ar"/>
              </w:rPr>
              <w:t>图纸配方、</w:t>
            </w:r>
            <w:r>
              <w:rPr>
                <w:rFonts w:cs="Times New Roman"/>
                <w:kern w:val="0"/>
                <w:sz w:val="21"/>
                <w:szCs w:val="21"/>
                <w:lang w:bidi="ar"/>
              </w:rPr>
              <w:t>WMS</w:t>
            </w:r>
            <w:r>
              <w:rPr>
                <w:rFonts w:hint="eastAsia" w:ascii="方正仿宋_GBK" w:hAnsi="方正仿宋_GBK" w:cs="方正仿宋_GBK"/>
                <w:kern w:val="0"/>
                <w:sz w:val="21"/>
                <w:szCs w:val="21"/>
                <w:lang w:bidi="ar"/>
              </w:rPr>
              <w:t>库存；系统集成</w:t>
            </w:r>
            <w:r>
              <w:rPr>
                <w:rFonts w:cs="Times New Roman"/>
                <w:kern w:val="0"/>
                <w:sz w:val="21"/>
                <w:szCs w:val="21"/>
                <w:lang w:bidi="ar"/>
              </w:rPr>
              <w:t>API</w:t>
            </w:r>
            <w:r>
              <w:rPr>
                <w:rFonts w:hint="eastAsia" w:ascii="方正仿宋_GBK" w:hAnsi="方正仿宋_GBK" w:cs="方正仿宋_GBK"/>
                <w:kern w:val="0"/>
                <w:sz w:val="21"/>
                <w:szCs w:val="21"/>
                <w:lang w:bidi="ar"/>
              </w:rPr>
              <w:t>、数据库直连同步接口</w:t>
            </w:r>
          </w:p>
        </w:tc>
        <w:tc>
          <w:tcPr>
            <w:tcW w:w="911" w:type="pct"/>
            <w:tcMar>
              <w:top w:w="80" w:type="dxa"/>
              <w:left w:w="80" w:type="dxa"/>
              <w:bottom w:w="80" w:type="dxa"/>
              <w:right w:w="80" w:type="dxa"/>
            </w:tcMar>
            <w:vAlign w:val="center"/>
          </w:tcPr>
          <w:p w14:paraId="2A1EB69A">
            <w:pPr>
              <w:spacing w:line="300" w:lineRule="exact"/>
              <w:ind w:firstLine="0" w:firstLineChars="0"/>
              <w:jc w:val="left"/>
              <w:rPr>
                <w:rFonts w:hint="eastAsia" w:ascii="方正仿宋_GBK" w:hAnsi="方正仿宋_GBK" w:cs="方正仿宋_GBK"/>
                <w:sz w:val="21"/>
                <w:szCs w:val="21"/>
              </w:rPr>
            </w:pPr>
            <w:r>
              <w:rPr>
                <w:rFonts w:hint="eastAsia" w:ascii="方正仿宋_GBK" w:hAnsi="方正仿宋_GBK" w:cs="方正仿宋_GBK"/>
                <w:kern w:val="0"/>
                <w:sz w:val="21"/>
                <w:szCs w:val="21"/>
                <w:lang w:bidi="ar"/>
              </w:rPr>
              <w:t>数据库透明脱敏</w:t>
            </w:r>
          </w:p>
        </w:tc>
        <w:tc>
          <w:tcPr>
            <w:tcW w:w="1901" w:type="pct"/>
            <w:tcMar>
              <w:top w:w="80" w:type="dxa"/>
              <w:left w:w="80" w:type="dxa"/>
              <w:bottom w:w="80" w:type="dxa"/>
              <w:right w:w="80" w:type="dxa"/>
            </w:tcMar>
            <w:vAlign w:val="center"/>
          </w:tcPr>
          <w:p w14:paraId="3B4A9576">
            <w:pPr>
              <w:spacing w:line="300" w:lineRule="exact"/>
              <w:ind w:firstLine="0" w:firstLineChars="0"/>
              <w:jc w:val="left"/>
              <w:rPr>
                <w:rFonts w:hint="eastAsia" w:ascii="方正仿宋_GBK" w:hAnsi="方正仿宋_GBK" w:cs="方正仿宋_GBK"/>
                <w:sz w:val="21"/>
                <w:szCs w:val="21"/>
              </w:rPr>
            </w:pPr>
            <w:r>
              <w:rPr>
                <w:rFonts w:hint="eastAsia" w:ascii="方正仿宋_GBK" w:hAnsi="方正仿宋_GBK" w:cs="方正仿宋_GBK"/>
                <w:kern w:val="0"/>
                <w:sz w:val="21"/>
                <w:szCs w:val="21"/>
                <w:lang w:bidi="ar"/>
              </w:rPr>
              <w:t>系统底层查询原始数据时自动屏蔽成本、工艺、供应商底价、设备涉密参数，未脱敏数据不流出数据库</w:t>
            </w:r>
          </w:p>
        </w:tc>
      </w:tr>
      <w:tr w14:paraId="732A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33CE48BA">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13AC3865">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26CE2C99">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54614A30">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接口静态/动态双脱敏</w:t>
            </w:r>
          </w:p>
        </w:tc>
        <w:tc>
          <w:tcPr>
            <w:tcW w:w="1901" w:type="pct"/>
            <w:tcMar>
              <w:top w:w="80" w:type="dxa"/>
              <w:left w:w="80" w:type="dxa"/>
              <w:bottom w:w="80" w:type="dxa"/>
              <w:right w:w="80" w:type="dxa"/>
            </w:tcMar>
            <w:vAlign w:val="center"/>
          </w:tcPr>
          <w:p w14:paraId="0B3716D7">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实时集成接口启用动态脱敏，批量同步集成任务执行静态批量脱敏</w:t>
            </w:r>
          </w:p>
        </w:tc>
      </w:tr>
      <w:tr w14:paraId="54FC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01061180">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04422C39">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5BE90B9F">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05C2F3A8">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字段令牌化</w:t>
            </w:r>
          </w:p>
        </w:tc>
        <w:tc>
          <w:tcPr>
            <w:tcW w:w="1901" w:type="pct"/>
            <w:tcMar>
              <w:top w:w="80" w:type="dxa"/>
              <w:left w:w="80" w:type="dxa"/>
              <w:bottom w:w="80" w:type="dxa"/>
              <w:right w:w="80" w:type="dxa"/>
            </w:tcMar>
            <w:vAlign w:val="center"/>
          </w:tcPr>
          <w:p w14:paraId="78C39F18">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BOM</w:t>
            </w:r>
            <w:r>
              <w:rPr>
                <w:rFonts w:hint="eastAsia" w:ascii="方正仿宋_GBK" w:hAnsi="方正仿宋_GBK" w:cs="方正仿宋_GBK"/>
                <w:kern w:val="0"/>
                <w:sz w:val="21"/>
                <w:szCs w:val="21"/>
                <w:lang w:bidi="ar"/>
              </w:rPr>
              <w:t>主键、批次号、客户编号、内部工单号替换为无解析能力临时令牌，原始主键不参与后续</w:t>
            </w:r>
            <w:r>
              <w:rPr>
                <w:rFonts w:cs="Times New Roman"/>
                <w:kern w:val="0"/>
                <w:sz w:val="21"/>
                <w:szCs w:val="21"/>
                <w:lang w:bidi="ar"/>
              </w:rPr>
              <w:t>Token</w:t>
            </w:r>
            <w:r>
              <w:rPr>
                <w:rFonts w:hint="eastAsia" w:ascii="方正仿宋_GBK" w:hAnsi="方正仿宋_GBK" w:cs="方正仿宋_GBK"/>
                <w:kern w:val="0"/>
                <w:sz w:val="21"/>
                <w:szCs w:val="21"/>
                <w:lang w:bidi="ar"/>
              </w:rPr>
              <w:t>编码</w:t>
            </w:r>
          </w:p>
        </w:tc>
      </w:tr>
      <w:tr w14:paraId="1ADC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7C9CCA28">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6843CC2C">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57978DE1">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61F61DF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敏感语义替换</w:t>
            </w:r>
          </w:p>
        </w:tc>
        <w:tc>
          <w:tcPr>
            <w:tcW w:w="1901" w:type="pct"/>
            <w:tcMar>
              <w:top w:w="80" w:type="dxa"/>
              <w:left w:w="80" w:type="dxa"/>
              <w:bottom w:w="80" w:type="dxa"/>
              <w:right w:w="80" w:type="dxa"/>
            </w:tcMar>
            <w:vAlign w:val="center"/>
          </w:tcPr>
          <w:p w14:paraId="1D80F85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工艺配方、热处理阈值、专有工序名称自动替换通用替代词</w:t>
            </w:r>
          </w:p>
        </w:tc>
      </w:tr>
      <w:tr w14:paraId="19D93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1290B3D3">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63EAF1E8">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0D48D756">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7E811CC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流量预拦截</w:t>
            </w:r>
          </w:p>
        </w:tc>
        <w:tc>
          <w:tcPr>
            <w:tcW w:w="1901" w:type="pct"/>
            <w:tcMar>
              <w:top w:w="80" w:type="dxa"/>
              <w:left w:w="80" w:type="dxa"/>
              <w:bottom w:w="80" w:type="dxa"/>
              <w:right w:w="80" w:type="dxa"/>
            </w:tcMar>
            <w:vAlign w:val="center"/>
          </w:tcPr>
          <w:p w14:paraId="60FEE0EC">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识别不可脱敏核心涉密数据（独家配方、整机未公开结构），直接阻断集成数据下发至</w:t>
            </w:r>
            <w:r>
              <w:rPr>
                <w:rFonts w:cs="Times New Roman"/>
                <w:kern w:val="0"/>
                <w:sz w:val="21"/>
                <w:szCs w:val="21"/>
                <w:lang w:bidi="ar"/>
              </w:rPr>
              <w:t>Token</w:t>
            </w:r>
            <w:r>
              <w:rPr>
                <w:rFonts w:hint="eastAsia" w:ascii="方正仿宋_GBK" w:hAnsi="方正仿宋_GBK" w:cs="方正仿宋_GBK"/>
                <w:kern w:val="0"/>
                <w:sz w:val="21"/>
                <w:szCs w:val="21"/>
                <w:lang w:bidi="ar"/>
              </w:rPr>
              <w:t>生成模块</w:t>
            </w:r>
          </w:p>
        </w:tc>
      </w:tr>
      <w:tr w14:paraId="2B76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2BA48598">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7D5D6ACD">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5623B533">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5C34141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分级标签绑定</w:t>
            </w:r>
          </w:p>
        </w:tc>
        <w:tc>
          <w:tcPr>
            <w:tcW w:w="1901" w:type="pct"/>
            <w:tcMar>
              <w:top w:w="80" w:type="dxa"/>
              <w:left w:w="80" w:type="dxa"/>
              <w:bottom w:w="80" w:type="dxa"/>
              <w:right w:w="80" w:type="dxa"/>
            </w:tcMar>
            <w:vAlign w:val="center"/>
          </w:tcPr>
          <w:p w14:paraId="0F4F0B49">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脱敏完成后给数据打上场景、敏感等级标签，标签跟随数据流转至下游</w:t>
            </w:r>
            <w:r>
              <w:rPr>
                <w:rFonts w:cs="Times New Roman"/>
                <w:kern w:val="0"/>
                <w:sz w:val="21"/>
                <w:szCs w:val="21"/>
                <w:lang w:bidi="ar"/>
              </w:rPr>
              <w:t>Token</w:t>
            </w:r>
            <w:r>
              <w:rPr>
                <w:rFonts w:hint="eastAsia" w:ascii="方正仿宋_GBK" w:hAnsi="方正仿宋_GBK" w:cs="方正仿宋_GBK"/>
                <w:kern w:val="0"/>
                <w:sz w:val="21"/>
                <w:szCs w:val="21"/>
                <w:lang w:bidi="ar"/>
              </w:rPr>
              <w:t>全链路</w:t>
            </w:r>
          </w:p>
        </w:tc>
      </w:tr>
      <w:tr w14:paraId="3F86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3C8B8905">
            <w:pPr>
              <w:spacing w:line="300" w:lineRule="exact"/>
              <w:ind w:firstLine="0" w:firstLineChars="0"/>
              <w:jc w:val="center"/>
              <w:rPr>
                <w:rFonts w:cs="Times New Roman"/>
                <w:kern w:val="0"/>
                <w:sz w:val="21"/>
                <w:szCs w:val="21"/>
                <w:lang w:bidi="ar"/>
              </w:rPr>
            </w:pPr>
            <w:r>
              <w:rPr>
                <w:rFonts w:cs="Times New Roman"/>
                <w:kern w:val="0"/>
                <w:sz w:val="21"/>
                <w:szCs w:val="21"/>
                <w:lang w:bidi="ar"/>
              </w:rPr>
              <w:t>2</w:t>
            </w:r>
          </w:p>
        </w:tc>
        <w:tc>
          <w:tcPr>
            <w:tcW w:w="764" w:type="pct"/>
            <w:vMerge w:val="restart"/>
            <w:tcMar>
              <w:top w:w="80" w:type="dxa"/>
              <w:left w:w="80" w:type="dxa"/>
              <w:bottom w:w="80" w:type="dxa"/>
              <w:right w:w="80" w:type="dxa"/>
            </w:tcMar>
            <w:vAlign w:val="center"/>
          </w:tcPr>
          <w:p w14:paraId="188DE271">
            <w:pPr>
              <w:spacing w:line="300" w:lineRule="exact"/>
              <w:ind w:firstLine="0" w:firstLineChars="0"/>
              <w:jc w:val="center"/>
              <w:rPr>
                <w:rFonts w:cs="Times New Roman"/>
                <w:kern w:val="0"/>
                <w:sz w:val="21"/>
                <w:szCs w:val="21"/>
                <w:lang w:bidi="ar"/>
              </w:rPr>
            </w:pPr>
            <w:r>
              <w:rPr>
                <w:rFonts w:cs="Times New Roman"/>
                <w:kern w:val="0"/>
                <w:sz w:val="21"/>
                <w:szCs w:val="21"/>
                <w:lang w:bidi="ar"/>
              </w:rPr>
              <w:t>Token生成环节</w:t>
            </w:r>
          </w:p>
        </w:tc>
        <w:tc>
          <w:tcPr>
            <w:tcW w:w="976" w:type="pct"/>
            <w:vMerge w:val="restart"/>
            <w:tcMar>
              <w:top w:w="80" w:type="dxa"/>
              <w:left w:w="80" w:type="dxa"/>
              <w:bottom w:w="80" w:type="dxa"/>
              <w:right w:w="80" w:type="dxa"/>
            </w:tcMar>
            <w:vAlign w:val="center"/>
          </w:tcPr>
          <w:p w14:paraId="42C9199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业务系统集成推送结构化表单、工艺时序、图纸图文、单据文件，统一编码推理/检索</w:t>
            </w:r>
            <w:r>
              <w:rPr>
                <w:rFonts w:cs="Times New Roman"/>
                <w:kern w:val="0"/>
                <w:sz w:val="21"/>
                <w:szCs w:val="21"/>
                <w:lang w:bidi="ar"/>
              </w:rPr>
              <w:t>Token</w:t>
            </w:r>
          </w:p>
        </w:tc>
        <w:tc>
          <w:tcPr>
            <w:tcW w:w="911" w:type="pct"/>
            <w:tcMar>
              <w:top w:w="80" w:type="dxa"/>
              <w:left w:w="80" w:type="dxa"/>
              <w:bottom w:w="80" w:type="dxa"/>
              <w:right w:w="80" w:type="dxa"/>
            </w:tcMar>
            <w:vAlign w:val="center"/>
          </w:tcPr>
          <w:p w14:paraId="5770959D">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前置全量清洗</w:t>
            </w:r>
          </w:p>
        </w:tc>
        <w:tc>
          <w:tcPr>
            <w:tcW w:w="1901" w:type="pct"/>
            <w:tcMar>
              <w:top w:w="80" w:type="dxa"/>
              <w:left w:w="80" w:type="dxa"/>
              <w:bottom w:w="80" w:type="dxa"/>
              <w:right w:w="80" w:type="dxa"/>
            </w:tcMar>
            <w:vAlign w:val="center"/>
          </w:tcPr>
          <w:p w14:paraId="5FFCD645">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仅允许上一环节完成脱敏的业务数据参与</w:t>
            </w:r>
            <w:r>
              <w:rPr>
                <w:rFonts w:cs="Times New Roman"/>
                <w:kern w:val="0"/>
                <w:sz w:val="21"/>
                <w:szCs w:val="21"/>
                <w:lang w:bidi="ar"/>
              </w:rPr>
              <w:t>Token</w:t>
            </w:r>
            <w:r>
              <w:rPr>
                <w:rFonts w:hint="eastAsia" w:ascii="方正仿宋_GBK" w:hAnsi="方正仿宋_GBK" w:cs="方正仿宋_GBK"/>
                <w:kern w:val="0"/>
                <w:sz w:val="21"/>
                <w:szCs w:val="21"/>
                <w:lang w:bidi="ar"/>
              </w:rPr>
              <w:t>生成，明文敏感数据禁止编码为</w:t>
            </w:r>
            <w:r>
              <w:rPr>
                <w:rFonts w:cs="Times New Roman"/>
                <w:kern w:val="0"/>
                <w:sz w:val="21"/>
                <w:szCs w:val="21"/>
                <w:lang w:bidi="ar"/>
              </w:rPr>
              <w:t>Token</w:t>
            </w:r>
          </w:p>
        </w:tc>
      </w:tr>
      <w:tr w14:paraId="5379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53531FC1">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13BCEC49">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61433138">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58AE5710">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差分隐私扰动</w:t>
            </w:r>
          </w:p>
        </w:tc>
        <w:tc>
          <w:tcPr>
            <w:tcW w:w="1901" w:type="pct"/>
            <w:tcMar>
              <w:top w:w="80" w:type="dxa"/>
              <w:left w:w="80" w:type="dxa"/>
              <w:bottom w:w="80" w:type="dxa"/>
              <w:right w:w="80" w:type="dxa"/>
            </w:tcMar>
            <w:vAlign w:val="center"/>
          </w:tcPr>
          <w:p w14:paraId="5825352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产能、良率、设备性能时序数据生成</w:t>
            </w:r>
            <w:r>
              <w:rPr>
                <w:rFonts w:cs="Times New Roman"/>
                <w:kern w:val="0"/>
                <w:sz w:val="21"/>
                <w:szCs w:val="21"/>
                <w:lang w:bidi="ar"/>
              </w:rPr>
              <w:t>Token</w:t>
            </w:r>
            <w:r>
              <w:rPr>
                <w:rFonts w:hint="eastAsia" w:ascii="方正仿宋_GBK" w:hAnsi="方正仿宋_GBK" w:cs="方正仿宋_GBK"/>
                <w:kern w:val="0"/>
                <w:sz w:val="21"/>
                <w:szCs w:val="21"/>
                <w:lang w:bidi="ar"/>
              </w:rPr>
              <w:t>前增加噪声，防止通过</w:t>
            </w:r>
            <w:r>
              <w:rPr>
                <w:rFonts w:cs="Times New Roman"/>
                <w:kern w:val="0"/>
                <w:sz w:val="21"/>
                <w:szCs w:val="21"/>
                <w:lang w:bidi="ar"/>
              </w:rPr>
              <w:t>Token</w:t>
            </w:r>
            <w:r>
              <w:rPr>
                <w:rFonts w:hint="eastAsia" w:ascii="方正仿宋_GBK" w:hAnsi="方正仿宋_GBK" w:cs="方正仿宋_GBK"/>
                <w:kern w:val="0"/>
                <w:sz w:val="21"/>
                <w:szCs w:val="21"/>
                <w:lang w:bidi="ar"/>
              </w:rPr>
              <w:t>逆向还原真实指标</w:t>
            </w:r>
          </w:p>
        </w:tc>
      </w:tr>
      <w:tr w14:paraId="6662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1E964353">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7AAE3750">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2B0E7055">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3422DCB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图像像素遮蔽</w:t>
            </w:r>
          </w:p>
        </w:tc>
        <w:tc>
          <w:tcPr>
            <w:tcW w:w="1901" w:type="pct"/>
            <w:tcMar>
              <w:top w:w="80" w:type="dxa"/>
              <w:left w:w="80" w:type="dxa"/>
              <w:bottom w:w="80" w:type="dxa"/>
              <w:right w:w="80" w:type="dxa"/>
            </w:tcMar>
            <w:vAlign w:val="center"/>
          </w:tcPr>
          <w:p w14:paraId="2155A866">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质检图、设备图纸</w:t>
            </w:r>
            <w:r>
              <w:rPr>
                <w:rFonts w:cs="Times New Roman"/>
                <w:kern w:val="0"/>
                <w:sz w:val="21"/>
                <w:szCs w:val="21"/>
                <w:lang w:bidi="ar"/>
              </w:rPr>
              <w:t>Token</w:t>
            </w:r>
            <w:r>
              <w:rPr>
                <w:rFonts w:hint="eastAsia" w:ascii="方正仿宋_GBK" w:hAnsi="方正仿宋_GBK" w:cs="方正仿宋_GBK"/>
                <w:kern w:val="0"/>
                <w:sz w:val="21"/>
                <w:szCs w:val="21"/>
                <w:lang w:bidi="ar"/>
              </w:rPr>
              <w:t>编码前对铭牌、涉密工装、厂区标识模糊处理</w:t>
            </w:r>
          </w:p>
        </w:tc>
      </w:tr>
      <w:tr w14:paraId="2E0F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647BFBF7">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786C9CE4">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2DD1EC80">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3A95B07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分级</w:t>
            </w:r>
            <w:r>
              <w:rPr>
                <w:rFonts w:cs="Times New Roman"/>
                <w:kern w:val="0"/>
                <w:sz w:val="21"/>
                <w:szCs w:val="21"/>
                <w:lang w:bidi="ar"/>
              </w:rPr>
              <w:t>Token</w:t>
            </w:r>
            <w:r>
              <w:rPr>
                <w:rFonts w:hint="eastAsia" w:ascii="方正仿宋_GBK" w:hAnsi="方正仿宋_GBK" w:cs="方正仿宋_GBK"/>
                <w:kern w:val="0"/>
                <w:sz w:val="21"/>
                <w:szCs w:val="21"/>
                <w:lang w:bidi="ar"/>
              </w:rPr>
              <w:t>加密</w:t>
            </w:r>
          </w:p>
        </w:tc>
        <w:tc>
          <w:tcPr>
            <w:tcW w:w="1901" w:type="pct"/>
            <w:tcMar>
              <w:top w:w="80" w:type="dxa"/>
              <w:left w:w="80" w:type="dxa"/>
              <w:bottom w:w="80" w:type="dxa"/>
              <w:right w:w="80" w:type="dxa"/>
            </w:tcMar>
            <w:vAlign w:val="center"/>
          </w:tcPr>
          <w:p w14:paraId="7CDE1EEA">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高敏感工艺、财务数据生成加密型</w:t>
            </w:r>
            <w:r>
              <w:rPr>
                <w:rFonts w:cs="Times New Roman"/>
                <w:kern w:val="0"/>
                <w:sz w:val="21"/>
                <w:szCs w:val="21"/>
                <w:lang w:bidi="ar"/>
              </w:rPr>
              <w:t>Token</w:t>
            </w:r>
            <w:r>
              <w:rPr>
                <w:rFonts w:hint="eastAsia" w:ascii="方正仿宋_GBK" w:hAnsi="方正仿宋_GBK" w:cs="方正仿宋_GBK"/>
                <w:kern w:val="0"/>
                <w:sz w:val="21"/>
                <w:szCs w:val="21"/>
                <w:lang w:bidi="ar"/>
              </w:rPr>
              <w:t>，普通经营业务生成标准明文</w:t>
            </w:r>
            <w:r>
              <w:rPr>
                <w:rFonts w:cs="Times New Roman"/>
                <w:kern w:val="0"/>
                <w:sz w:val="21"/>
                <w:szCs w:val="21"/>
                <w:lang w:bidi="ar"/>
              </w:rPr>
              <w:t>Token</w:t>
            </w:r>
          </w:p>
        </w:tc>
      </w:tr>
      <w:tr w14:paraId="5FE6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6AF7D902">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2231BC46">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27A605AD">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5FAEF467">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溯源标识嵌入</w:t>
            </w:r>
          </w:p>
        </w:tc>
        <w:tc>
          <w:tcPr>
            <w:tcW w:w="1901" w:type="pct"/>
            <w:tcMar>
              <w:top w:w="80" w:type="dxa"/>
              <w:left w:w="80" w:type="dxa"/>
              <w:bottom w:w="80" w:type="dxa"/>
              <w:right w:w="80" w:type="dxa"/>
            </w:tcMar>
            <w:vAlign w:val="center"/>
          </w:tcPr>
          <w:p w14:paraId="5978E0A0">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每批生成</w:t>
            </w:r>
            <w:r>
              <w:rPr>
                <w:rFonts w:cs="Times New Roman"/>
                <w:kern w:val="0"/>
                <w:sz w:val="21"/>
                <w:szCs w:val="21"/>
                <w:lang w:bidi="ar"/>
              </w:rPr>
              <w:t>Token</w:t>
            </w:r>
            <w:r>
              <w:rPr>
                <w:rFonts w:hint="eastAsia" w:ascii="方正仿宋_GBK" w:hAnsi="方正仿宋_GBK" w:cs="方正仿宋_GBK"/>
                <w:kern w:val="0"/>
                <w:sz w:val="21"/>
                <w:szCs w:val="21"/>
                <w:lang w:bidi="ar"/>
              </w:rPr>
              <w:t>内置唯一溯源</w:t>
            </w:r>
            <w:r>
              <w:rPr>
                <w:rFonts w:cs="Times New Roman"/>
                <w:kern w:val="0"/>
                <w:sz w:val="21"/>
                <w:szCs w:val="21"/>
                <w:lang w:bidi="ar"/>
              </w:rPr>
              <w:t>ID</w:t>
            </w:r>
            <w:r>
              <w:rPr>
                <w:rFonts w:hint="eastAsia" w:ascii="方正仿宋_GBK" w:hAnsi="方正仿宋_GBK" w:cs="方正仿宋_GBK"/>
                <w:kern w:val="0"/>
                <w:sz w:val="21"/>
                <w:szCs w:val="21"/>
                <w:lang w:bidi="ar"/>
              </w:rPr>
              <w:t>，关联来源工业系统、集成接口编号、数据批次</w:t>
            </w:r>
          </w:p>
        </w:tc>
      </w:tr>
      <w:tr w14:paraId="5649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0C1C3038">
            <w:pPr>
              <w:spacing w:line="300" w:lineRule="exact"/>
              <w:ind w:firstLine="0" w:firstLineChars="0"/>
              <w:jc w:val="center"/>
              <w:rPr>
                <w:rFonts w:cs="Times New Roman"/>
                <w:kern w:val="0"/>
                <w:sz w:val="21"/>
                <w:szCs w:val="21"/>
                <w:lang w:bidi="ar"/>
              </w:rPr>
            </w:pPr>
            <w:r>
              <w:rPr>
                <w:rFonts w:cs="Times New Roman"/>
                <w:kern w:val="0"/>
                <w:sz w:val="21"/>
                <w:szCs w:val="21"/>
                <w:lang w:bidi="ar"/>
              </w:rPr>
              <w:t>3</w:t>
            </w:r>
          </w:p>
        </w:tc>
        <w:tc>
          <w:tcPr>
            <w:tcW w:w="764" w:type="pct"/>
            <w:vMerge w:val="restart"/>
            <w:tcMar>
              <w:top w:w="80" w:type="dxa"/>
              <w:left w:w="80" w:type="dxa"/>
              <w:bottom w:w="80" w:type="dxa"/>
              <w:right w:w="80" w:type="dxa"/>
            </w:tcMar>
            <w:vAlign w:val="center"/>
          </w:tcPr>
          <w:p w14:paraId="6D374550">
            <w:pPr>
              <w:spacing w:line="300" w:lineRule="exact"/>
              <w:ind w:firstLine="0" w:firstLineChars="0"/>
              <w:jc w:val="center"/>
              <w:rPr>
                <w:rFonts w:cs="Times New Roman"/>
                <w:kern w:val="0"/>
                <w:sz w:val="21"/>
                <w:szCs w:val="21"/>
                <w:lang w:bidi="ar"/>
              </w:rPr>
            </w:pPr>
            <w:r>
              <w:rPr>
                <w:rFonts w:cs="Times New Roman"/>
                <w:kern w:val="0"/>
                <w:sz w:val="21"/>
                <w:szCs w:val="21"/>
                <w:lang w:bidi="ar"/>
              </w:rPr>
              <w:t>Token缓存存储环节</w:t>
            </w:r>
          </w:p>
        </w:tc>
        <w:tc>
          <w:tcPr>
            <w:tcW w:w="976" w:type="pct"/>
            <w:vMerge w:val="restart"/>
            <w:tcMar>
              <w:top w:w="80" w:type="dxa"/>
              <w:left w:w="80" w:type="dxa"/>
              <w:bottom w:w="80" w:type="dxa"/>
              <w:right w:w="80" w:type="dxa"/>
            </w:tcMar>
            <w:vAlign w:val="center"/>
          </w:tcPr>
          <w:p w14:paraId="1B937FD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工业系统实时交互临时</w:t>
            </w:r>
            <w:r>
              <w:rPr>
                <w:rFonts w:cs="Times New Roman"/>
                <w:kern w:val="0"/>
                <w:sz w:val="21"/>
                <w:szCs w:val="21"/>
                <w:lang w:bidi="ar"/>
              </w:rPr>
              <w:t>Token</w:t>
            </w:r>
            <w:r>
              <w:rPr>
                <w:rFonts w:hint="eastAsia" w:ascii="方正仿宋_GBK" w:hAnsi="方正仿宋_GBK" w:cs="方正仿宋_GBK"/>
                <w:kern w:val="0"/>
                <w:sz w:val="21"/>
                <w:szCs w:val="21"/>
                <w:lang w:bidi="ar"/>
              </w:rPr>
              <w:t>、集成批量任务中间</w:t>
            </w:r>
            <w:r>
              <w:rPr>
                <w:rFonts w:cs="Times New Roman"/>
                <w:kern w:val="0"/>
                <w:sz w:val="21"/>
                <w:szCs w:val="21"/>
                <w:lang w:bidi="ar"/>
              </w:rPr>
              <w:t>Token</w:t>
            </w:r>
            <w:r>
              <w:rPr>
                <w:rFonts w:hint="eastAsia" w:ascii="方正仿宋_GBK" w:hAnsi="方正仿宋_GBK" w:cs="方正仿宋_GBK"/>
                <w:kern w:val="0"/>
                <w:sz w:val="21"/>
                <w:szCs w:val="21"/>
                <w:lang w:bidi="ar"/>
              </w:rPr>
              <w:t>、跨传输缓冲</w:t>
            </w:r>
            <w:r>
              <w:rPr>
                <w:rFonts w:cs="Times New Roman"/>
                <w:kern w:val="0"/>
                <w:sz w:val="21"/>
                <w:szCs w:val="21"/>
                <w:lang w:bidi="ar"/>
              </w:rPr>
              <w:t>Token</w:t>
            </w:r>
          </w:p>
        </w:tc>
        <w:tc>
          <w:tcPr>
            <w:tcW w:w="911" w:type="pct"/>
            <w:tcMar>
              <w:top w:w="80" w:type="dxa"/>
              <w:left w:w="80" w:type="dxa"/>
              <w:bottom w:w="80" w:type="dxa"/>
              <w:right w:w="80" w:type="dxa"/>
            </w:tcMar>
            <w:vAlign w:val="center"/>
          </w:tcPr>
          <w:p w14:paraId="0ED61D16">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缓存分层隔离</w:t>
            </w:r>
          </w:p>
        </w:tc>
        <w:tc>
          <w:tcPr>
            <w:tcW w:w="1901" w:type="pct"/>
            <w:tcMar>
              <w:top w:w="80" w:type="dxa"/>
              <w:left w:w="80" w:type="dxa"/>
              <w:bottom w:w="80" w:type="dxa"/>
              <w:right w:w="80" w:type="dxa"/>
            </w:tcMar>
            <w:vAlign w:val="center"/>
          </w:tcPr>
          <w:p w14:paraId="0CE320A2">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MES</w:t>
            </w:r>
            <w:r>
              <w:rPr>
                <w:rFonts w:hint="eastAsia" w:ascii="方正仿宋_GBK" w:hAnsi="方正仿宋_GBK" w:cs="方正仿宋_GBK"/>
                <w:kern w:val="0"/>
                <w:sz w:val="21"/>
                <w:szCs w:val="21"/>
                <w:lang w:bidi="ar"/>
              </w:rPr>
              <w:t>生产类</w:t>
            </w:r>
            <w:r>
              <w:rPr>
                <w:rFonts w:cs="Times New Roman"/>
                <w:kern w:val="0"/>
                <w:sz w:val="21"/>
                <w:szCs w:val="21"/>
                <w:lang w:bidi="ar"/>
              </w:rPr>
              <w:t>Token</w:t>
            </w:r>
            <w:r>
              <w:rPr>
                <w:rFonts w:hint="eastAsia" w:ascii="方正仿宋_GBK" w:hAnsi="方正仿宋_GBK" w:cs="方正仿宋_GBK"/>
                <w:kern w:val="0"/>
                <w:sz w:val="21"/>
                <w:szCs w:val="21"/>
                <w:lang w:bidi="ar"/>
              </w:rPr>
              <w:t>、</w:t>
            </w:r>
            <w:r>
              <w:rPr>
                <w:rFonts w:cs="Times New Roman"/>
                <w:kern w:val="0"/>
                <w:sz w:val="21"/>
                <w:szCs w:val="21"/>
                <w:lang w:bidi="ar"/>
              </w:rPr>
              <w:t>SAP</w:t>
            </w:r>
            <w:r>
              <w:rPr>
                <w:rFonts w:hint="eastAsia" w:ascii="方正仿宋_GBK" w:hAnsi="方正仿宋_GBK" w:cs="方正仿宋_GBK"/>
                <w:kern w:val="0"/>
                <w:sz w:val="21"/>
                <w:szCs w:val="21"/>
                <w:lang w:bidi="ar"/>
              </w:rPr>
              <w:t>财务</w:t>
            </w:r>
            <w:r>
              <w:rPr>
                <w:rFonts w:cs="Times New Roman"/>
                <w:kern w:val="0"/>
                <w:sz w:val="21"/>
                <w:szCs w:val="21"/>
                <w:lang w:bidi="ar"/>
              </w:rPr>
              <w:t>Token</w:t>
            </w:r>
            <w:r>
              <w:rPr>
                <w:rFonts w:hint="eastAsia" w:ascii="方正仿宋_GBK" w:hAnsi="方正仿宋_GBK" w:cs="方正仿宋_GBK"/>
                <w:kern w:val="0"/>
                <w:sz w:val="21"/>
                <w:szCs w:val="21"/>
                <w:lang w:bidi="ar"/>
              </w:rPr>
              <w:t>、</w:t>
            </w:r>
            <w:r>
              <w:rPr>
                <w:rFonts w:cs="Times New Roman"/>
                <w:kern w:val="0"/>
                <w:sz w:val="21"/>
                <w:szCs w:val="21"/>
                <w:lang w:bidi="ar"/>
              </w:rPr>
              <w:t>PLM</w:t>
            </w:r>
            <w:r>
              <w:rPr>
                <w:rFonts w:hint="eastAsia" w:ascii="方正仿宋_GBK" w:hAnsi="方正仿宋_GBK" w:cs="方正仿宋_GBK"/>
                <w:kern w:val="0"/>
                <w:sz w:val="21"/>
                <w:szCs w:val="21"/>
                <w:lang w:bidi="ar"/>
              </w:rPr>
              <w:t>研发</w:t>
            </w:r>
            <w:r>
              <w:rPr>
                <w:rFonts w:cs="Times New Roman"/>
                <w:kern w:val="0"/>
                <w:sz w:val="21"/>
                <w:szCs w:val="21"/>
                <w:lang w:bidi="ar"/>
              </w:rPr>
              <w:t>Token</w:t>
            </w:r>
            <w:r>
              <w:rPr>
                <w:rFonts w:hint="eastAsia" w:ascii="方正仿宋_GBK" w:hAnsi="方正仿宋_GBK" w:cs="方正仿宋_GBK"/>
                <w:kern w:val="0"/>
                <w:sz w:val="21"/>
                <w:szCs w:val="21"/>
                <w:lang w:bidi="ar"/>
              </w:rPr>
              <w:t>分独立缓存分区，集成接口跨域读取需二次校验</w:t>
            </w:r>
          </w:p>
        </w:tc>
      </w:tr>
      <w:tr w14:paraId="19C8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4E52887B">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5301E4CD">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25C4758D">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12462EC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短时时效管控</w:t>
            </w:r>
          </w:p>
        </w:tc>
        <w:tc>
          <w:tcPr>
            <w:tcW w:w="1901" w:type="pct"/>
            <w:tcMar>
              <w:top w:w="80" w:type="dxa"/>
              <w:left w:w="80" w:type="dxa"/>
              <w:bottom w:w="80" w:type="dxa"/>
              <w:right w:w="80" w:type="dxa"/>
            </w:tcMar>
            <w:vAlign w:val="center"/>
          </w:tcPr>
          <w:p w14:paraId="30403577">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高敏感工艺</w:t>
            </w:r>
            <w:r>
              <w:rPr>
                <w:rFonts w:cs="Times New Roman"/>
                <w:kern w:val="0"/>
                <w:sz w:val="21"/>
                <w:szCs w:val="21"/>
                <w:lang w:bidi="ar"/>
              </w:rPr>
              <w:t>Token</w:t>
            </w:r>
            <w:r>
              <w:rPr>
                <w:rFonts w:hint="eastAsia" w:ascii="方正仿宋_GBK" w:hAnsi="方正仿宋_GBK" w:cs="方正仿宋_GBK"/>
                <w:kern w:val="0"/>
                <w:sz w:val="21"/>
                <w:szCs w:val="21"/>
                <w:lang w:bidi="ar"/>
              </w:rPr>
              <w:t>内存临时缓存，禁止持久落地磁盘，传输结束自动清空</w:t>
            </w:r>
          </w:p>
        </w:tc>
      </w:tr>
      <w:tr w14:paraId="4D46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6F469B81">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3F957AAE">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67C56B50">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4FCF9450">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缓存数据剥离</w:t>
            </w:r>
          </w:p>
        </w:tc>
        <w:tc>
          <w:tcPr>
            <w:tcW w:w="1901" w:type="pct"/>
            <w:tcMar>
              <w:top w:w="80" w:type="dxa"/>
              <w:left w:w="80" w:type="dxa"/>
              <w:bottom w:w="80" w:type="dxa"/>
              <w:right w:w="80" w:type="dxa"/>
            </w:tcMar>
            <w:vAlign w:val="center"/>
          </w:tcPr>
          <w:p w14:paraId="24F5FFF4">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缓存仅留存脱敏</w:t>
            </w:r>
            <w:r>
              <w:rPr>
                <w:rFonts w:cs="Times New Roman"/>
                <w:kern w:val="0"/>
                <w:sz w:val="21"/>
                <w:szCs w:val="21"/>
                <w:lang w:bidi="ar"/>
              </w:rPr>
              <w:t>Token</w:t>
            </w:r>
            <w:r>
              <w:rPr>
                <w:rFonts w:hint="eastAsia" w:ascii="方正仿宋_GBK" w:hAnsi="方正仿宋_GBK" w:cs="方正仿宋_GBK"/>
                <w:kern w:val="0"/>
                <w:sz w:val="21"/>
                <w:szCs w:val="21"/>
                <w:lang w:bidi="ar"/>
              </w:rPr>
              <w:t>片段，原始业务明文、系统原始字段不落地缓存</w:t>
            </w:r>
          </w:p>
        </w:tc>
      </w:tr>
      <w:tr w14:paraId="54D4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0316CC5A">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308B4A6C">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71304A08">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125B2590">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访问鉴权隔离</w:t>
            </w:r>
          </w:p>
        </w:tc>
        <w:tc>
          <w:tcPr>
            <w:tcW w:w="1901" w:type="pct"/>
            <w:tcMar>
              <w:top w:w="80" w:type="dxa"/>
              <w:left w:w="80" w:type="dxa"/>
              <w:bottom w:w="80" w:type="dxa"/>
              <w:right w:w="80" w:type="dxa"/>
            </w:tcMar>
            <w:vAlign w:val="center"/>
          </w:tcPr>
          <w:p w14:paraId="45AB8BF6">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各工业系统集成应用仅能读取自身业务对应缓存</w:t>
            </w:r>
            <w:r>
              <w:rPr>
                <w:rFonts w:cs="Times New Roman"/>
                <w:kern w:val="0"/>
                <w:sz w:val="21"/>
                <w:szCs w:val="21"/>
                <w:lang w:bidi="ar"/>
              </w:rPr>
              <w:t>Token</w:t>
            </w:r>
            <w:r>
              <w:rPr>
                <w:rFonts w:hint="eastAsia" w:ascii="方正仿宋_GBK" w:hAnsi="方正仿宋_GBK" w:cs="方正仿宋_GBK"/>
                <w:kern w:val="0"/>
                <w:sz w:val="21"/>
                <w:szCs w:val="21"/>
                <w:lang w:bidi="ar"/>
              </w:rPr>
              <w:t>，跨系统缓存访问强制二次脱敏</w:t>
            </w:r>
          </w:p>
        </w:tc>
      </w:tr>
      <w:tr w14:paraId="60FC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4C39853F">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6D6106A5">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27CCBEB1">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6D9DE51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传输缓冲加密</w:t>
            </w:r>
          </w:p>
        </w:tc>
        <w:tc>
          <w:tcPr>
            <w:tcW w:w="1901" w:type="pct"/>
            <w:tcMar>
              <w:top w:w="80" w:type="dxa"/>
              <w:left w:w="80" w:type="dxa"/>
              <w:bottom w:w="80" w:type="dxa"/>
              <w:right w:w="80" w:type="dxa"/>
            </w:tcMar>
            <w:vAlign w:val="center"/>
          </w:tcPr>
          <w:p w14:paraId="3356641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内外网传输中间缓存</w:t>
            </w:r>
            <w:r>
              <w:rPr>
                <w:rFonts w:cs="Times New Roman"/>
                <w:kern w:val="0"/>
                <w:sz w:val="21"/>
                <w:szCs w:val="21"/>
                <w:lang w:bidi="ar"/>
              </w:rPr>
              <w:t>Token</w:t>
            </w:r>
            <w:r>
              <w:rPr>
                <w:rFonts w:hint="eastAsia" w:ascii="方正仿宋_GBK" w:hAnsi="方正仿宋_GBK" w:cs="方正仿宋_GBK"/>
                <w:kern w:val="0"/>
                <w:sz w:val="21"/>
                <w:szCs w:val="21"/>
                <w:lang w:bidi="ar"/>
              </w:rPr>
              <w:t>全程加密存储，杜绝传输缓存泄露敏感片段</w:t>
            </w:r>
          </w:p>
        </w:tc>
      </w:tr>
      <w:tr w14:paraId="6625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300DBBED">
            <w:pPr>
              <w:spacing w:line="300" w:lineRule="exact"/>
              <w:ind w:firstLine="0" w:firstLineChars="0"/>
              <w:jc w:val="center"/>
              <w:rPr>
                <w:rFonts w:cs="Times New Roman"/>
                <w:kern w:val="0"/>
                <w:sz w:val="21"/>
                <w:szCs w:val="21"/>
                <w:lang w:bidi="ar"/>
              </w:rPr>
            </w:pPr>
            <w:r>
              <w:rPr>
                <w:rFonts w:cs="Times New Roman"/>
                <w:kern w:val="0"/>
                <w:sz w:val="21"/>
                <w:szCs w:val="21"/>
                <w:lang w:bidi="ar"/>
              </w:rPr>
              <w:t>4</w:t>
            </w:r>
          </w:p>
        </w:tc>
        <w:tc>
          <w:tcPr>
            <w:tcW w:w="764" w:type="pct"/>
            <w:vMerge w:val="restart"/>
            <w:tcMar>
              <w:top w:w="80" w:type="dxa"/>
              <w:left w:w="80" w:type="dxa"/>
              <w:bottom w:w="80" w:type="dxa"/>
              <w:right w:w="80" w:type="dxa"/>
            </w:tcMar>
            <w:vAlign w:val="center"/>
          </w:tcPr>
          <w:p w14:paraId="741F20A1">
            <w:pPr>
              <w:spacing w:line="300" w:lineRule="exact"/>
              <w:ind w:firstLine="0" w:firstLineChars="0"/>
              <w:jc w:val="center"/>
              <w:rPr>
                <w:rFonts w:cs="Times New Roman"/>
                <w:kern w:val="0"/>
                <w:sz w:val="21"/>
                <w:szCs w:val="21"/>
                <w:lang w:bidi="ar"/>
              </w:rPr>
            </w:pPr>
            <w:r>
              <w:rPr>
                <w:rFonts w:cs="Times New Roman"/>
                <w:kern w:val="0"/>
                <w:sz w:val="21"/>
                <w:szCs w:val="21"/>
                <w:lang w:bidi="ar"/>
              </w:rPr>
              <w:t>模型推理上下文Token管控</w:t>
            </w:r>
          </w:p>
        </w:tc>
        <w:tc>
          <w:tcPr>
            <w:tcW w:w="976" w:type="pct"/>
            <w:vMerge w:val="restart"/>
            <w:tcMar>
              <w:top w:w="80" w:type="dxa"/>
              <w:left w:w="80" w:type="dxa"/>
              <w:bottom w:w="80" w:type="dxa"/>
              <w:right w:w="80" w:type="dxa"/>
            </w:tcMar>
            <w:vAlign w:val="center"/>
          </w:tcPr>
          <w:p w14:paraId="3EBAD770">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MES</w:t>
            </w:r>
            <w:r>
              <w:rPr>
                <w:rFonts w:hint="eastAsia" w:ascii="方正仿宋_GBK" w:hAnsi="方正仿宋_GBK" w:cs="方正仿宋_GBK"/>
                <w:kern w:val="0"/>
                <w:sz w:val="21"/>
                <w:szCs w:val="21"/>
                <w:lang w:bidi="ar"/>
              </w:rPr>
              <w:t>实时设备监控、工艺优化迭代、</w:t>
            </w:r>
            <w:r>
              <w:rPr>
                <w:rFonts w:cs="Times New Roman"/>
                <w:kern w:val="0"/>
                <w:sz w:val="21"/>
                <w:szCs w:val="21"/>
                <w:lang w:bidi="ar"/>
              </w:rPr>
              <w:t>SAP</w:t>
            </w:r>
            <w:r>
              <w:rPr>
                <w:rFonts w:hint="eastAsia" w:ascii="方正仿宋_GBK" w:hAnsi="方正仿宋_GBK" w:cs="方正仿宋_GBK"/>
                <w:kern w:val="0"/>
                <w:sz w:val="21"/>
                <w:szCs w:val="21"/>
                <w:lang w:bidi="ar"/>
              </w:rPr>
              <w:t>多维度经营分析；集成接口持续推送上下文数据</w:t>
            </w:r>
          </w:p>
        </w:tc>
        <w:tc>
          <w:tcPr>
            <w:tcW w:w="911" w:type="pct"/>
            <w:tcMar>
              <w:top w:w="80" w:type="dxa"/>
              <w:left w:w="80" w:type="dxa"/>
              <w:bottom w:w="80" w:type="dxa"/>
              <w:right w:w="80" w:type="dxa"/>
            </w:tcMar>
            <w:vAlign w:val="center"/>
          </w:tcPr>
          <w:p w14:paraId="0B2DC8EB">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单轮独立重脱敏</w:t>
            </w:r>
          </w:p>
        </w:tc>
        <w:tc>
          <w:tcPr>
            <w:tcW w:w="1901" w:type="pct"/>
            <w:tcMar>
              <w:top w:w="80" w:type="dxa"/>
              <w:left w:w="80" w:type="dxa"/>
              <w:bottom w:w="80" w:type="dxa"/>
              <w:right w:w="80" w:type="dxa"/>
            </w:tcMar>
            <w:vAlign w:val="center"/>
          </w:tcPr>
          <w:p w14:paraId="1847648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每一轮从工业集成接口新增的数据生成</w:t>
            </w:r>
            <w:r>
              <w:rPr>
                <w:rFonts w:cs="Times New Roman"/>
                <w:kern w:val="0"/>
                <w:sz w:val="21"/>
                <w:szCs w:val="21"/>
                <w:lang w:bidi="ar"/>
              </w:rPr>
              <w:t>Token</w:t>
            </w:r>
            <w:r>
              <w:rPr>
                <w:rFonts w:hint="eastAsia" w:ascii="方正仿宋_GBK" w:hAnsi="方正仿宋_GBK" w:cs="方正仿宋_GBK"/>
                <w:kern w:val="0"/>
                <w:sz w:val="21"/>
                <w:szCs w:val="21"/>
                <w:lang w:bidi="ar"/>
              </w:rPr>
              <w:t>，重新执行敏感识别清洗，不复用历史未校验上下文</w:t>
            </w:r>
          </w:p>
        </w:tc>
      </w:tr>
      <w:tr w14:paraId="6968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503F57C7">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1F105786">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31F391C5">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22C58B57">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涉密片段自动截断</w:t>
            </w:r>
          </w:p>
        </w:tc>
        <w:tc>
          <w:tcPr>
            <w:tcW w:w="1901" w:type="pct"/>
            <w:tcMar>
              <w:top w:w="80" w:type="dxa"/>
              <w:left w:w="80" w:type="dxa"/>
              <w:bottom w:w="80" w:type="dxa"/>
              <w:right w:w="80" w:type="dxa"/>
            </w:tcMar>
            <w:vAlign w:val="center"/>
          </w:tcPr>
          <w:p w14:paraId="020CE4E8">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上下文累积</w:t>
            </w:r>
            <w:r>
              <w:rPr>
                <w:rFonts w:cs="Times New Roman"/>
                <w:kern w:val="0"/>
                <w:sz w:val="21"/>
                <w:szCs w:val="21"/>
                <w:lang w:bidi="ar"/>
              </w:rPr>
              <w:t>Token</w:t>
            </w:r>
            <w:r>
              <w:rPr>
                <w:rFonts w:hint="eastAsia" w:ascii="方正仿宋_GBK" w:hAnsi="方正仿宋_GBK" w:cs="方正仿宋_GBK"/>
                <w:kern w:val="0"/>
                <w:sz w:val="21"/>
                <w:szCs w:val="21"/>
                <w:lang w:bidi="ar"/>
              </w:rPr>
              <w:t>中识别配方、成本、涉密工序片段自动裁剪剔除</w:t>
            </w:r>
          </w:p>
        </w:tc>
      </w:tr>
      <w:tr w14:paraId="2C7C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163E9C30">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2D49DD00">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744D73BF">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1E2650B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系统数据隔离拼接</w:t>
            </w:r>
          </w:p>
        </w:tc>
        <w:tc>
          <w:tcPr>
            <w:tcW w:w="1901" w:type="pct"/>
            <w:tcMar>
              <w:top w:w="80" w:type="dxa"/>
              <w:left w:w="80" w:type="dxa"/>
              <w:bottom w:w="80" w:type="dxa"/>
              <w:right w:w="80" w:type="dxa"/>
            </w:tcMar>
            <w:vAlign w:val="center"/>
          </w:tcPr>
          <w:p w14:paraId="0041BAC4">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来自</w:t>
            </w:r>
            <w:r>
              <w:rPr>
                <w:rFonts w:cs="Times New Roman"/>
                <w:kern w:val="0"/>
                <w:sz w:val="21"/>
                <w:szCs w:val="21"/>
                <w:lang w:bidi="ar"/>
              </w:rPr>
              <w:t>MES</w:t>
            </w:r>
            <w:r>
              <w:rPr>
                <w:rFonts w:hint="eastAsia" w:ascii="方正仿宋_GBK" w:hAnsi="方正仿宋_GBK" w:cs="方正仿宋_GBK"/>
                <w:kern w:val="0"/>
                <w:sz w:val="21"/>
                <w:szCs w:val="21"/>
                <w:lang w:bidi="ar"/>
              </w:rPr>
              <w:t>生产、</w:t>
            </w:r>
            <w:r>
              <w:rPr>
                <w:rFonts w:cs="Times New Roman"/>
                <w:kern w:val="0"/>
                <w:sz w:val="21"/>
                <w:szCs w:val="21"/>
                <w:lang w:bidi="ar"/>
              </w:rPr>
              <w:t>SAP</w:t>
            </w:r>
            <w:r>
              <w:rPr>
                <w:rFonts w:hint="eastAsia" w:ascii="方正仿宋_GBK" w:hAnsi="方正仿宋_GBK" w:cs="方正仿宋_GBK"/>
                <w:kern w:val="0"/>
                <w:sz w:val="21"/>
                <w:szCs w:val="21"/>
                <w:lang w:bidi="ar"/>
              </w:rPr>
              <w:t>财务两类系统的上下文</w:t>
            </w:r>
            <w:r>
              <w:rPr>
                <w:rFonts w:cs="Times New Roman"/>
                <w:kern w:val="0"/>
                <w:sz w:val="21"/>
                <w:szCs w:val="21"/>
                <w:lang w:bidi="ar"/>
              </w:rPr>
              <w:t>Token</w:t>
            </w:r>
            <w:r>
              <w:rPr>
                <w:rFonts w:hint="eastAsia" w:ascii="方正仿宋_GBK" w:hAnsi="方正仿宋_GBK" w:cs="方正仿宋_GBK"/>
                <w:kern w:val="0"/>
                <w:sz w:val="21"/>
                <w:szCs w:val="21"/>
                <w:lang w:bidi="ar"/>
              </w:rPr>
              <w:t>逻辑分区存储，不混合拼接推理</w:t>
            </w:r>
          </w:p>
        </w:tc>
      </w:tr>
      <w:tr w14:paraId="7D82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40D54266">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0B7736C1">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0FE7632E">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4482781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长上下文分片脱敏</w:t>
            </w:r>
          </w:p>
        </w:tc>
        <w:tc>
          <w:tcPr>
            <w:tcW w:w="1901" w:type="pct"/>
            <w:tcMar>
              <w:top w:w="80" w:type="dxa"/>
              <w:left w:w="80" w:type="dxa"/>
              <w:bottom w:w="80" w:type="dxa"/>
              <w:right w:w="80" w:type="dxa"/>
            </w:tcMar>
            <w:vAlign w:val="center"/>
          </w:tcPr>
          <w:p w14:paraId="239C0BA0">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大批量工业单据、时序集成数据拆分为分片</w:t>
            </w:r>
            <w:r>
              <w:rPr>
                <w:rFonts w:cs="Times New Roman"/>
                <w:kern w:val="0"/>
                <w:sz w:val="21"/>
                <w:szCs w:val="21"/>
                <w:lang w:bidi="ar"/>
              </w:rPr>
              <w:t>Token</w:t>
            </w:r>
            <w:r>
              <w:rPr>
                <w:rFonts w:hint="eastAsia" w:ascii="方正仿宋_GBK" w:hAnsi="方正仿宋_GBK" w:cs="方正仿宋_GBK"/>
                <w:kern w:val="0"/>
                <w:sz w:val="21"/>
                <w:szCs w:val="21"/>
                <w:lang w:bidi="ar"/>
              </w:rPr>
              <w:t>，分片单独校验脱敏再参与推理</w:t>
            </w:r>
          </w:p>
        </w:tc>
      </w:tr>
      <w:tr w14:paraId="4BE9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515B2B00">
            <w:pPr>
              <w:spacing w:line="300" w:lineRule="exact"/>
              <w:ind w:firstLine="0" w:firstLineChars="0"/>
              <w:jc w:val="center"/>
              <w:rPr>
                <w:rFonts w:cs="Times New Roman"/>
                <w:kern w:val="0"/>
                <w:sz w:val="21"/>
                <w:szCs w:val="21"/>
                <w:lang w:bidi="ar"/>
              </w:rPr>
            </w:pPr>
            <w:r>
              <w:rPr>
                <w:rFonts w:cs="Times New Roman"/>
                <w:kern w:val="0"/>
                <w:sz w:val="21"/>
                <w:szCs w:val="21"/>
                <w:lang w:bidi="ar"/>
              </w:rPr>
              <w:t>5</w:t>
            </w:r>
          </w:p>
        </w:tc>
        <w:tc>
          <w:tcPr>
            <w:tcW w:w="764" w:type="pct"/>
            <w:vMerge w:val="restart"/>
            <w:tcMar>
              <w:top w:w="80" w:type="dxa"/>
              <w:left w:w="80" w:type="dxa"/>
              <w:bottom w:w="80" w:type="dxa"/>
              <w:right w:w="80" w:type="dxa"/>
            </w:tcMar>
            <w:vAlign w:val="center"/>
          </w:tcPr>
          <w:p w14:paraId="5C52FB1F">
            <w:pPr>
              <w:spacing w:line="300" w:lineRule="exact"/>
              <w:ind w:firstLine="0" w:firstLineChars="0"/>
              <w:jc w:val="center"/>
              <w:rPr>
                <w:rFonts w:cs="Times New Roman"/>
                <w:kern w:val="0"/>
                <w:sz w:val="21"/>
                <w:szCs w:val="21"/>
                <w:lang w:bidi="ar"/>
              </w:rPr>
            </w:pPr>
            <w:r>
              <w:rPr>
                <w:rFonts w:cs="Times New Roman"/>
                <w:kern w:val="0"/>
                <w:sz w:val="21"/>
                <w:szCs w:val="21"/>
                <w:lang w:bidi="ar"/>
              </w:rPr>
              <w:t>模型输出Token管控</w:t>
            </w:r>
          </w:p>
        </w:tc>
        <w:tc>
          <w:tcPr>
            <w:tcW w:w="976" w:type="pct"/>
            <w:vMerge w:val="restart"/>
            <w:tcMar>
              <w:top w:w="80" w:type="dxa"/>
              <w:left w:w="80" w:type="dxa"/>
              <w:bottom w:w="80" w:type="dxa"/>
              <w:right w:w="80" w:type="dxa"/>
            </w:tcMar>
            <w:vAlign w:val="center"/>
          </w:tcPr>
          <w:p w14:paraId="41AECBB8">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模型生成工艺方案、经营报表、质检报告；通过集成接口回写</w:t>
            </w:r>
            <w:r>
              <w:rPr>
                <w:rFonts w:cs="Times New Roman"/>
                <w:kern w:val="0"/>
                <w:sz w:val="21"/>
                <w:szCs w:val="21"/>
                <w:lang w:bidi="ar"/>
              </w:rPr>
              <w:t>MES</w:t>
            </w:r>
            <w:r>
              <w:rPr>
                <w:rFonts w:hint="eastAsia" w:ascii="方正仿宋_GBK" w:hAnsi="方正仿宋_GBK" w:cs="方正仿宋_GBK"/>
                <w:kern w:val="0"/>
                <w:sz w:val="21"/>
                <w:szCs w:val="21"/>
                <w:lang w:bidi="ar"/>
              </w:rPr>
              <w:t>/</w:t>
            </w:r>
            <w:r>
              <w:rPr>
                <w:rFonts w:cs="Times New Roman"/>
                <w:kern w:val="0"/>
                <w:sz w:val="21"/>
                <w:szCs w:val="21"/>
                <w:lang w:bidi="ar"/>
              </w:rPr>
              <w:t>SAP</w:t>
            </w:r>
            <w:r>
              <w:rPr>
                <w:rFonts w:hint="eastAsia" w:ascii="方正仿宋_GBK" w:hAnsi="方正仿宋_GBK" w:cs="方正仿宋_GBK"/>
                <w:kern w:val="0"/>
                <w:sz w:val="21"/>
                <w:szCs w:val="21"/>
                <w:lang w:bidi="ar"/>
              </w:rPr>
              <w:t>/</w:t>
            </w:r>
            <w:r>
              <w:rPr>
                <w:rFonts w:cs="Times New Roman"/>
                <w:kern w:val="0"/>
                <w:sz w:val="21"/>
                <w:szCs w:val="21"/>
                <w:lang w:bidi="ar"/>
              </w:rPr>
              <w:t>PLM</w:t>
            </w:r>
            <w:r>
              <w:rPr>
                <w:rFonts w:hint="eastAsia" w:ascii="方正仿宋_GBK" w:hAnsi="方正仿宋_GBK" w:cs="方正仿宋_GBK"/>
                <w:kern w:val="0"/>
                <w:sz w:val="21"/>
                <w:szCs w:val="21"/>
                <w:lang w:bidi="ar"/>
              </w:rPr>
              <w:t>/</w:t>
            </w:r>
            <w:r>
              <w:rPr>
                <w:rFonts w:cs="Times New Roman"/>
                <w:kern w:val="0"/>
                <w:sz w:val="21"/>
                <w:szCs w:val="21"/>
                <w:lang w:bidi="ar"/>
              </w:rPr>
              <w:t>WMS</w:t>
            </w:r>
            <w:r>
              <w:rPr>
                <w:rFonts w:hint="eastAsia" w:ascii="方正仿宋_GBK" w:hAnsi="方正仿宋_GBK" w:cs="方正仿宋_GBK"/>
                <w:kern w:val="0"/>
                <w:sz w:val="21"/>
                <w:szCs w:val="21"/>
                <w:lang w:bidi="ar"/>
              </w:rPr>
              <w:t>，跨内外传输</w:t>
            </w:r>
          </w:p>
        </w:tc>
        <w:tc>
          <w:tcPr>
            <w:tcW w:w="911" w:type="pct"/>
            <w:tcMar>
              <w:top w:w="80" w:type="dxa"/>
              <w:left w:w="80" w:type="dxa"/>
              <w:bottom w:w="80" w:type="dxa"/>
              <w:right w:w="80" w:type="dxa"/>
            </w:tcMar>
            <w:vAlign w:val="center"/>
          </w:tcPr>
          <w:p w14:paraId="2A8D88B7">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输出侧内容审核</w:t>
            </w:r>
          </w:p>
        </w:tc>
        <w:tc>
          <w:tcPr>
            <w:tcW w:w="1901" w:type="pct"/>
            <w:tcMar>
              <w:top w:w="80" w:type="dxa"/>
              <w:left w:w="80" w:type="dxa"/>
              <w:bottom w:w="80" w:type="dxa"/>
              <w:right w:w="80" w:type="dxa"/>
            </w:tcMar>
            <w:vAlign w:val="center"/>
          </w:tcPr>
          <w:p w14:paraId="0E6265B2">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扫描输出</w:t>
            </w:r>
            <w:r>
              <w:rPr>
                <w:rFonts w:cs="Times New Roman"/>
                <w:kern w:val="0"/>
                <w:sz w:val="21"/>
                <w:szCs w:val="21"/>
                <w:lang w:bidi="ar"/>
              </w:rPr>
              <w:t>Token</w:t>
            </w:r>
            <w:r>
              <w:rPr>
                <w:rFonts w:hint="eastAsia" w:ascii="方正仿宋_GBK" w:hAnsi="方正仿宋_GBK" w:cs="方正仿宋_GBK"/>
                <w:kern w:val="0"/>
                <w:sz w:val="21"/>
                <w:szCs w:val="21"/>
                <w:lang w:bidi="ar"/>
              </w:rPr>
              <w:t>内工艺参数、定价、客户信息、设备涉密编号，存在敏感内容直接拦截回传业务系统</w:t>
            </w:r>
          </w:p>
        </w:tc>
      </w:tr>
      <w:tr w14:paraId="2D55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0ABA278F">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55F8F499">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44B25063">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6BF265A7">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生成图文同步遮蔽</w:t>
            </w:r>
          </w:p>
        </w:tc>
        <w:tc>
          <w:tcPr>
            <w:tcW w:w="1901" w:type="pct"/>
            <w:tcMar>
              <w:top w:w="80" w:type="dxa"/>
              <w:left w:w="80" w:type="dxa"/>
              <w:bottom w:w="80" w:type="dxa"/>
              <w:right w:w="80" w:type="dxa"/>
            </w:tcMar>
            <w:vAlign w:val="center"/>
          </w:tcPr>
          <w:p w14:paraId="4A262185">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图片/3</w:t>
            </w:r>
            <w:r>
              <w:rPr>
                <w:rFonts w:cs="Times New Roman"/>
                <w:kern w:val="0"/>
                <w:sz w:val="21"/>
                <w:szCs w:val="21"/>
                <w:lang w:bidi="ar"/>
              </w:rPr>
              <w:t>D</w:t>
            </w:r>
            <w:r>
              <w:rPr>
                <w:rFonts w:hint="eastAsia" w:ascii="方正仿宋_GBK" w:hAnsi="方正仿宋_GBK" w:cs="方正仿宋_GBK"/>
                <w:kern w:val="0"/>
                <w:sz w:val="21"/>
                <w:szCs w:val="21"/>
                <w:lang w:bidi="ar"/>
              </w:rPr>
              <w:t>配套文本</w:t>
            </w:r>
            <w:r>
              <w:rPr>
                <w:rFonts w:cs="Times New Roman"/>
                <w:kern w:val="0"/>
                <w:sz w:val="21"/>
                <w:szCs w:val="21"/>
                <w:lang w:bidi="ar"/>
              </w:rPr>
              <w:t>Token</w:t>
            </w:r>
            <w:r>
              <w:rPr>
                <w:rFonts w:hint="eastAsia" w:ascii="方正仿宋_GBK" w:hAnsi="方正仿宋_GBK" w:cs="方正仿宋_GBK"/>
                <w:kern w:val="0"/>
                <w:sz w:val="21"/>
                <w:szCs w:val="21"/>
                <w:lang w:bidi="ar"/>
              </w:rPr>
              <w:t>自动替换图纸涉密标注、配方描述</w:t>
            </w:r>
          </w:p>
        </w:tc>
      </w:tr>
      <w:tr w14:paraId="69CC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7089FD9A">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3B4009DC">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18111A90">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2CD01F09">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回传系统差异化脱敏</w:t>
            </w:r>
          </w:p>
        </w:tc>
        <w:tc>
          <w:tcPr>
            <w:tcW w:w="1901" w:type="pct"/>
            <w:tcMar>
              <w:top w:w="80" w:type="dxa"/>
              <w:left w:w="80" w:type="dxa"/>
              <w:bottom w:w="80" w:type="dxa"/>
              <w:right w:w="80" w:type="dxa"/>
            </w:tcMar>
            <w:vAlign w:val="center"/>
          </w:tcPr>
          <w:p w14:paraId="09D049E7">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回写</w:t>
            </w:r>
            <w:r>
              <w:rPr>
                <w:rFonts w:cs="Times New Roman"/>
                <w:kern w:val="0"/>
                <w:sz w:val="21"/>
                <w:szCs w:val="21"/>
                <w:lang w:bidi="ar"/>
              </w:rPr>
              <w:t>MES</w:t>
            </w:r>
            <w:r>
              <w:rPr>
                <w:rFonts w:hint="eastAsia" w:ascii="方正仿宋_GBK" w:hAnsi="方正仿宋_GBK" w:cs="方正仿宋_GBK"/>
                <w:kern w:val="0"/>
                <w:sz w:val="21"/>
                <w:szCs w:val="21"/>
                <w:lang w:bidi="ar"/>
              </w:rPr>
              <w:t>产线的</w:t>
            </w:r>
            <w:r>
              <w:rPr>
                <w:rFonts w:cs="Times New Roman"/>
                <w:kern w:val="0"/>
                <w:sz w:val="21"/>
                <w:szCs w:val="21"/>
                <w:lang w:bidi="ar"/>
              </w:rPr>
              <w:t>Token</w:t>
            </w:r>
            <w:r>
              <w:rPr>
                <w:rFonts w:hint="eastAsia" w:ascii="方正仿宋_GBK" w:hAnsi="方正仿宋_GBK" w:cs="方正仿宋_GBK"/>
                <w:kern w:val="0"/>
                <w:sz w:val="21"/>
                <w:szCs w:val="21"/>
                <w:lang w:bidi="ar"/>
              </w:rPr>
              <w:t>保留通用工艺，回传</w:t>
            </w:r>
            <w:r>
              <w:rPr>
                <w:rFonts w:cs="Times New Roman"/>
                <w:kern w:val="0"/>
                <w:sz w:val="21"/>
                <w:szCs w:val="21"/>
                <w:lang w:bidi="ar"/>
              </w:rPr>
              <w:t>SAP</w:t>
            </w:r>
            <w:r>
              <w:rPr>
                <w:rFonts w:hint="eastAsia" w:ascii="方正仿宋_GBK" w:hAnsi="方正仿宋_GBK" w:cs="方正仿宋_GBK"/>
                <w:kern w:val="0"/>
                <w:sz w:val="21"/>
                <w:szCs w:val="21"/>
                <w:lang w:bidi="ar"/>
              </w:rPr>
              <w:t>办公端</w:t>
            </w:r>
            <w:r>
              <w:rPr>
                <w:rFonts w:cs="Times New Roman"/>
                <w:kern w:val="0"/>
                <w:sz w:val="21"/>
                <w:szCs w:val="21"/>
                <w:lang w:bidi="ar"/>
              </w:rPr>
              <w:t>Token</w:t>
            </w:r>
            <w:r>
              <w:rPr>
                <w:rFonts w:hint="eastAsia" w:ascii="方正仿宋_GBK" w:hAnsi="方正仿宋_GBK" w:cs="方正仿宋_GBK"/>
                <w:kern w:val="0"/>
                <w:sz w:val="21"/>
                <w:szCs w:val="21"/>
                <w:lang w:bidi="ar"/>
              </w:rPr>
              <w:t>屏蔽成本明细</w:t>
            </w:r>
          </w:p>
        </w:tc>
      </w:tr>
      <w:tr w14:paraId="77F7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3F9FB780">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610801E1">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3CEED3B1">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69FFD05B">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传输加密校验</w:t>
            </w:r>
          </w:p>
        </w:tc>
        <w:tc>
          <w:tcPr>
            <w:tcW w:w="1901" w:type="pct"/>
            <w:tcMar>
              <w:top w:w="80" w:type="dxa"/>
              <w:left w:w="80" w:type="dxa"/>
              <w:bottom w:w="80" w:type="dxa"/>
              <w:right w:w="80" w:type="dxa"/>
            </w:tcMar>
            <w:vAlign w:val="center"/>
          </w:tcPr>
          <w:p w14:paraId="36B51F3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输出</w:t>
            </w:r>
            <w:r>
              <w:rPr>
                <w:rFonts w:cs="Times New Roman"/>
                <w:kern w:val="0"/>
                <w:sz w:val="21"/>
                <w:szCs w:val="21"/>
                <w:lang w:bidi="ar"/>
              </w:rPr>
              <w:t>Token</w:t>
            </w:r>
            <w:r>
              <w:rPr>
                <w:rFonts w:hint="eastAsia" w:ascii="方正仿宋_GBK" w:hAnsi="方正仿宋_GBK" w:cs="方正仿宋_GBK"/>
                <w:kern w:val="0"/>
                <w:sz w:val="21"/>
                <w:szCs w:val="21"/>
                <w:lang w:bidi="ar"/>
              </w:rPr>
              <w:t>经由集成网关加密传输至业务系统，同步复核脱敏标记完整性</w:t>
            </w:r>
          </w:p>
        </w:tc>
      </w:tr>
      <w:tr w14:paraId="66E3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0AB73C06">
            <w:pPr>
              <w:spacing w:line="300" w:lineRule="exact"/>
              <w:ind w:firstLine="0" w:firstLineChars="0"/>
              <w:jc w:val="center"/>
              <w:rPr>
                <w:rFonts w:cs="Times New Roman"/>
                <w:kern w:val="0"/>
                <w:sz w:val="21"/>
                <w:szCs w:val="21"/>
                <w:lang w:bidi="ar"/>
              </w:rPr>
            </w:pPr>
            <w:r>
              <w:rPr>
                <w:rFonts w:cs="Times New Roman"/>
                <w:kern w:val="0"/>
                <w:sz w:val="21"/>
                <w:szCs w:val="21"/>
                <w:lang w:bidi="ar"/>
              </w:rPr>
              <w:t>6</w:t>
            </w:r>
          </w:p>
        </w:tc>
        <w:tc>
          <w:tcPr>
            <w:tcW w:w="764" w:type="pct"/>
            <w:vMerge w:val="restart"/>
            <w:tcMar>
              <w:top w:w="80" w:type="dxa"/>
              <w:left w:w="80" w:type="dxa"/>
              <w:bottom w:w="80" w:type="dxa"/>
              <w:right w:w="80" w:type="dxa"/>
            </w:tcMar>
            <w:vAlign w:val="center"/>
          </w:tcPr>
          <w:p w14:paraId="46BAE3FF">
            <w:pPr>
              <w:spacing w:line="300" w:lineRule="exact"/>
              <w:ind w:firstLine="0" w:firstLineChars="0"/>
              <w:jc w:val="center"/>
              <w:rPr>
                <w:rFonts w:cs="Times New Roman"/>
                <w:kern w:val="0"/>
                <w:sz w:val="21"/>
                <w:szCs w:val="21"/>
                <w:lang w:bidi="ar"/>
              </w:rPr>
            </w:pPr>
            <w:r>
              <w:rPr>
                <w:rFonts w:cs="Times New Roman"/>
                <w:kern w:val="0"/>
                <w:sz w:val="21"/>
                <w:szCs w:val="21"/>
                <w:lang w:bidi="ar"/>
              </w:rPr>
              <w:t>向量知识库检索Token管控</w:t>
            </w:r>
          </w:p>
        </w:tc>
        <w:tc>
          <w:tcPr>
            <w:tcW w:w="976" w:type="pct"/>
            <w:vMerge w:val="restart"/>
            <w:tcMar>
              <w:top w:w="80" w:type="dxa"/>
              <w:left w:w="80" w:type="dxa"/>
              <w:bottom w:w="80" w:type="dxa"/>
              <w:right w:w="80" w:type="dxa"/>
            </w:tcMar>
            <w:vAlign w:val="center"/>
          </w:tcPr>
          <w:p w14:paraId="00750D3C">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MES</w:t>
            </w:r>
            <w:r>
              <w:rPr>
                <w:rFonts w:hint="eastAsia" w:ascii="方正仿宋_GBK" w:hAnsi="方正仿宋_GBK" w:cs="方正仿宋_GBK"/>
                <w:kern w:val="0"/>
                <w:sz w:val="21"/>
                <w:szCs w:val="21"/>
                <w:lang w:bidi="ar"/>
              </w:rPr>
              <w:t>工单、</w:t>
            </w:r>
            <w:r>
              <w:rPr>
                <w:rFonts w:cs="Times New Roman"/>
                <w:kern w:val="0"/>
                <w:sz w:val="21"/>
                <w:szCs w:val="21"/>
                <w:lang w:bidi="ar"/>
              </w:rPr>
              <w:t>SAP</w:t>
            </w:r>
            <w:r>
              <w:rPr>
                <w:rFonts w:hint="eastAsia" w:ascii="方正仿宋_GBK" w:hAnsi="方正仿宋_GBK" w:cs="方正仿宋_GBK"/>
                <w:kern w:val="0"/>
                <w:sz w:val="21"/>
                <w:szCs w:val="21"/>
                <w:lang w:bidi="ar"/>
              </w:rPr>
              <w:t>采购单、</w:t>
            </w:r>
            <w:r>
              <w:rPr>
                <w:rFonts w:cs="Times New Roman"/>
                <w:kern w:val="0"/>
                <w:sz w:val="21"/>
                <w:szCs w:val="21"/>
                <w:lang w:bidi="ar"/>
              </w:rPr>
              <w:t>PLM</w:t>
            </w:r>
            <w:r>
              <w:rPr>
                <w:rFonts w:hint="eastAsia" w:ascii="方正仿宋_GBK" w:hAnsi="方正仿宋_GBK" w:cs="方正仿宋_GBK"/>
                <w:kern w:val="0"/>
                <w:sz w:val="21"/>
                <w:szCs w:val="21"/>
                <w:lang w:bidi="ar"/>
              </w:rPr>
              <w:t>图纸经集成批量向量化；业务系统发起检索生成检索</w:t>
            </w:r>
            <w:r>
              <w:rPr>
                <w:rFonts w:cs="Times New Roman"/>
                <w:kern w:val="0"/>
                <w:sz w:val="21"/>
                <w:szCs w:val="21"/>
                <w:lang w:bidi="ar"/>
              </w:rPr>
              <w:t>Token</w:t>
            </w:r>
          </w:p>
        </w:tc>
        <w:tc>
          <w:tcPr>
            <w:tcW w:w="911" w:type="pct"/>
            <w:tcMar>
              <w:top w:w="80" w:type="dxa"/>
              <w:left w:w="80" w:type="dxa"/>
              <w:bottom w:w="80" w:type="dxa"/>
              <w:right w:w="80" w:type="dxa"/>
            </w:tcMar>
            <w:vAlign w:val="center"/>
          </w:tcPr>
          <w:p w14:paraId="301F7E25">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检索输入脱敏</w:t>
            </w:r>
          </w:p>
        </w:tc>
        <w:tc>
          <w:tcPr>
            <w:tcW w:w="1901" w:type="pct"/>
            <w:tcMar>
              <w:top w:w="80" w:type="dxa"/>
              <w:left w:w="80" w:type="dxa"/>
              <w:bottom w:w="80" w:type="dxa"/>
              <w:right w:w="80" w:type="dxa"/>
            </w:tcMar>
            <w:vAlign w:val="center"/>
          </w:tcPr>
          <w:p w14:paraId="797E88FD">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SAP</w:t>
            </w:r>
            <w:r>
              <w:rPr>
                <w:rFonts w:hint="eastAsia" w:ascii="方正仿宋_GBK" w:hAnsi="方正仿宋_GBK" w:cs="方正仿宋_GBK"/>
                <w:kern w:val="0"/>
                <w:sz w:val="21"/>
                <w:szCs w:val="21"/>
                <w:lang w:bidi="ar"/>
              </w:rPr>
              <w:t>/</w:t>
            </w:r>
            <w:r>
              <w:rPr>
                <w:rFonts w:cs="Times New Roman"/>
                <w:kern w:val="0"/>
                <w:sz w:val="21"/>
                <w:szCs w:val="21"/>
                <w:lang w:bidi="ar"/>
              </w:rPr>
              <w:t>MES</w:t>
            </w:r>
            <w:r>
              <w:rPr>
                <w:rFonts w:hint="eastAsia" w:ascii="方正仿宋_GBK" w:hAnsi="方正仿宋_GBK" w:cs="方正仿宋_GBK"/>
                <w:kern w:val="0"/>
                <w:sz w:val="21"/>
                <w:szCs w:val="21"/>
                <w:lang w:bidi="ar"/>
              </w:rPr>
              <w:t>发起检索时，检索关键词仅使用脱敏摘要，禁止传入完整批次、成本主键</w:t>
            </w:r>
          </w:p>
        </w:tc>
      </w:tr>
      <w:tr w14:paraId="5E91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28845269">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574A6B91">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239F4747">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4BF10E45">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向量特征遮蔽</w:t>
            </w:r>
          </w:p>
        </w:tc>
        <w:tc>
          <w:tcPr>
            <w:tcW w:w="1901" w:type="pct"/>
            <w:tcMar>
              <w:top w:w="80" w:type="dxa"/>
              <w:left w:w="80" w:type="dxa"/>
              <w:bottom w:w="80" w:type="dxa"/>
              <w:right w:w="80" w:type="dxa"/>
            </w:tcMar>
            <w:vAlign w:val="center"/>
          </w:tcPr>
          <w:p w14:paraId="41DBF525">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图纸、工艺文档向量化时对核心结构、配方特征做扰动遮蔽，避免逆向还原</w:t>
            </w:r>
          </w:p>
        </w:tc>
      </w:tr>
      <w:tr w14:paraId="083D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607AB197">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2799C48A">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4608A5F3">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178884C0">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召回结果裁剪</w:t>
            </w:r>
          </w:p>
        </w:tc>
        <w:tc>
          <w:tcPr>
            <w:tcW w:w="1901" w:type="pct"/>
            <w:tcMar>
              <w:top w:w="80" w:type="dxa"/>
              <w:left w:w="80" w:type="dxa"/>
              <w:bottom w:w="80" w:type="dxa"/>
              <w:right w:w="80" w:type="dxa"/>
            </w:tcMar>
            <w:vAlign w:val="center"/>
          </w:tcPr>
          <w:p w14:paraId="3E71E39B">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知识库匹配返回文本</w:t>
            </w:r>
            <w:r>
              <w:rPr>
                <w:rFonts w:cs="Times New Roman"/>
                <w:kern w:val="0"/>
                <w:sz w:val="21"/>
                <w:szCs w:val="21"/>
                <w:lang w:bidi="ar"/>
              </w:rPr>
              <w:t>Token</w:t>
            </w:r>
            <w:r>
              <w:rPr>
                <w:rFonts w:hint="eastAsia" w:ascii="方正仿宋_GBK" w:hAnsi="方正仿宋_GBK" w:cs="方正仿宋_GBK"/>
                <w:kern w:val="0"/>
                <w:sz w:val="21"/>
                <w:szCs w:val="21"/>
                <w:lang w:bidi="ar"/>
              </w:rPr>
              <w:t>自动剔除涉密段落，仅脱敏摘要下发集成接口</w:t>
            </w:r>
          </w:p>
        </w:tc>
      </w:tr>
      <w:tr w14:paraId="69B7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660A646D">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22942DE5">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69EE1649">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5F46965F">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知识库分库隔离</w:t>
            </w:r>
          </w:p>
        </w:tc>
        <w:tc>
          <w:tcPr>
            <w:tcW w:w="1901" w:type="pct"/>
            <w:tcMar>
              <w:top w:w="80" w:type="dxa"/>
              <w:left w:w="80" w:type="dxa"/>
              <w:bottom w:w="80" w:type="dxa"/>
              <w:right w:w="80" w:type="dxa"/>
            </w:tcMar>
            <w:vAlign w:val="center"/>
          </w:tcPr>
          <w:p w14:paraId="204BF288">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生产工艺、财务经营向量库对接独立集成接口，跨库检索强制脱敏复核</w:t>
            </w:r>
          </w:p>
        </w:tc>
      </w:tr>
      <w:tr w14:paraId="1097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43FF0DF5">
            <w:pPr>
              <w:spacing w:line="300" w:lineRule="exact"/>
              <w:ind w:firstLine="0" w:firstLineChars="0"/>
              <w:jc w:val="center"/>
              <w:rPr>
                <w:rFonts w:cs="Times New Roman"/>
                <w:kern w:val="0"/>
                <w:sz w:val="21"/>
                <w:szCs w:val="21"/>
                <w:lang w:bidi="ar"/>
              </w:rPr>
            </w:pPr>
            <w:r>
              <w:rPr>
                <w:rFonts w:cs="Times New Roman"/>
                <w:kern w:val="0"/>
                <w:sz w:val="21"/>
                <w:szCs w:val="21"/>
                <w:lang w:bidi="ar"/>
              </w:rPr>
              <w:t>7</w:t>
            </w:r>
          </w:p>
        </w:tc>
        <w:tc>
          <w:tcPr>
            <w:tcW w:w="764" w:type="pct"/>
            <w:vMerge w:val="restart"/>
            <w:tcMar>
              <w:top w:w="80" w:type="dxa"/>
              <w:left w:w="80" w:type="dxa"/>
              <w:bottom w:w="80" w:type="dxa"/>
              <w:right w:w="80" w:type="dxa"/>
            </w:tcMar>
            <w:vAlign w:val="center"/>
          </w:tcPr>
          <w:p w14:paraId="53C2C832">
            <w:pPr>
              <w:spacing w:line="300" w:lineRule="exact"/>
              <w:ind w:firstLine="0" w:firstLineChars="0"/>
              <w:jc w:val="center"/>
              <w:rPr>
                <w:rFonts w:cs="Times New Roman"/>
                <w:kern w:val="0"/>
                <w:sz w:val="21"/>
                <w:szCs w:val="21"/>
                <w:lang w:bidi="ar"/>
              </w:rPr>
            </w:pPr>
            <w:r>
              <w:rPr>
                <w:rFonts w:cs="Times New Roman"/>
                <w:kern w:val="0"/>
                <w:sz w:val="21"/>
                <w:szCs w:val="21"/>
                <w:lang w:bidi="ar"/>
              </w:rPr>
              <w:t>智能体会话Token管控</w:t>
            </w:r>
          </w:p>
        </w:tc>
        <w:tc>
          <w:tcPr>
            <w:tcW w:w="976" w:type="pct"/>
            <w:vMerge w:val="restart"/>
            <w:tcMar>
              <w:top w:w="80" w:type="dxa"/>
              <w:left w:w="80" w:type="dxa"/>
              <w:bottom w:w="80" w:type="dxa"/>
              <w:right w:w="80" w:type="dxa"/>
            </w:tcMar>
            <w:vAlign w:val="center"/>
          </w:tcPr>
          <w:p w14:paraId="7E0C1804">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智能体串联多套工业系统集成，分步调用</w:t>
            </w:r>
            <w:r>
              <w:rPr>
                <w:rFonts w:cs="Times New Roman"/>
                <w:kern w:val="0"/>
                <w:sz w:val="21"/>
                <w:szCs w:val="21"/>
                <w:lang w:bidi="ar"/>
              </w:rPr>
              <w:t>SAP</w:t>
            </w:r>
            <w:r>
              <w:rPr>
                <w:rFonts w:hint="eastAsia" w:ascii="方正仿宋_GBK" w:hAnsi="方正仿宋_GBK" w:cs="方正仿宋_GBK"/>
                <w:kern w:val="0"/>
                <w:sz w:val="21"/>
                <w:szCs w:val="21"/>
                <w:lang w:bidi="ar"/>
              </w:rPr>
              <w:t>/</w:t>
            </w:r>
            <w:r>
              <w:rPr>
                <w:rFonts w:cs="Times New Roman"/>
                <w:kern w:val="0"/>
                <w:sz w:val="21"/>
                <w:szCs w:val="21"/>
                <w:lang w:bidi="ar"/>
              </w:rPr>
              <w:t>MES</w:t>
            </w:r>
            <w:r>
              <w:rPr>
                <w:rFonts w:hint="eastAsia" w:ascii="方正仿宋_GBK" w:hAnsi="方正仿宋_GBK" w:cs="方正仿宋_GBK"/>
                <w:kern w:val="0"/>
                <w:sz w:val="21"/>
                <w:szCs w:val="21"/>
                <w:lang w:bidi="ar"/>
              </w:rPr>
              <w:t>，会话缓存交互</w:t>
            </w:r>
            <w:r>
              <w:rPr>
                <w:rFonts w:cs="Times New Roman"/>
                <w:kern w:val="0"/>
                <w:sz w:val="21"/>
                <w:szCs w:val="21"/>
                <w:lang w:bidi="ar"/>
              </w:rPr>
              <w:t>Token</w:t>
            </w:r>
          </w:p>
        </w:tc>
        <w:tc>
          <w:tcPr>
            <w:tcW w:w="911" w:type="pct"/>
            <w:tcMar>
              <w:top w:w="80" w:type="dxa"/>
              <w:left w:w="80" w:type="dxa"/>
              <w:bottom w:w="80" w:type="dxa"/>
              <w:right w:w="80" w:type="dxa"/>
            </w:tcMar>
            <w:vAlign w:val="center"/>
          </w:tcPr>
          <w:p w14:paraId="565B983F">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多系统会话隔离</w:t>
            </w:r>
          </w:p>
        </w:tc>
        <w:tc>
          <w:tcPr>
            <w:tcW w:w="1901" w:type="pct"/>
            <w:tcMar>
              <w:top w:w="80" w:type="dxa"/>
              <w:left w:w="80" w:type="dxa"/>
              <w:bottom w:w="80" w:type="dxa"/>
              <w:right w:w="80" w:type="dxa"/>
            </w:tcMar>
            <w:vAlign w:val="center"/>
          </w:tcPr>
          <w:p w14:paraId="29BC439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运维</w:t>
            </w:r>
            <w:r>
              <w:rPr>
                <w:rFonts w:hint="eastAsia" w:ascii="方正仿宋_GBK" w:hAnsi="方正仿宋_GBK" w:cs="方正仿宋_GBK"/>
                <w:kern w:val="0"/>
                <w:sz w:val="21"/>
                <w:szCs w:val="21"/>
                <w:lang w:eastAsia="zh-CN" w:bidi="ar"/>
              </w:rPr>
              <w:t>（</w:t>
            </w:r>
            <w:r>
              <w:rPr>
                <w:rFonts w:cs="Times New Roman"/>
                <w:kern w:val="0"/>
                <w:sz w:val="21"/>
                <w:szCs w:val="21"/>
                <w:lang w:bidi="ar"/>
              </w:rPr>
              <w:t>MES</w:t>
            </w:r>
            <w:r>
              <w:rPr>
                <w:rFonts w:hint="eastAsia" w:ascii="方正仿宋_GBK" w:hAnsi="方正仿宋_GBK" w:cs="方正仿宋_GBK"/>
                <w:kern w:val="0"/>
                <w:sz w:val="21"/>
                <w:szCs w:val="21"/>
                <w:lang w:eastAsia="zh-CN" w:bidi="ar"/>
              </w:rPr>
              <w:t>）</w:t>
            </w:r>
            <w:r>
              <w:rPr>
                <w:rFonts w:hint="eastAsia" w:ascii="方正仿宋_GBK" w:hAnsi="方正仿宋_GBK" w:cs="方正仿宋_GBK"/>
                <w:kern w:val="0"/>
                <w:sz w:val="21"/>
                <w:szCs w:val="21"/>
                <w:lang w:bidi="ar"/>
              </w:rPr>
              <w:t>、经营</w:t>
            </w:r>
            <w:r>
              <w:rPr>
                <w:rFonts w:hint="eastAsia" w:ascii="方正仿宋_GBK" w:hAnsi="方正仿宋_GBK" w:cs="方正仿宋_GBK"/>
                <w:kern w:val="0"/>
                <w:sz w:val="21"/>
                <w:szCs w:val="21"/>
                <w:lang w:eastAsia="zh-CN" w:bidi="ar"/>
              </w:rPr>
              <w:t>（</w:t>
            </w:r>
            <w:r>
              <w:rPr>
                <w:rFonts w:cs="Times New Roman"/>
                <w:kern w:val="0"/>
                <w:sz w:val="21"/>
                <w:szCs w:val="21"/>
                <w:lang w:bidi="ar"/>
              </w:rPr>
              <w:t>SAP</w:t>
            </w:r>
            <w:r>
              <w:rPr>
                <w:rFonts w:hint="eastAsia" w:ascii="方正仿宋_GBK" w:hAnsi="方正仿宋_GBK" w:cs="方正仿宋_GBK"/>
                <w:kern w:val="0"/>
                <w:sz w:val="21"/>
                <w:szCs w:val="21"/>
                <w:lang w:eastAsia="zh-CN" w:bidi="ar"/>
              </w:rPr>
              <w:t>）</w:t>
            </w:r>
            <w:r>
              <w:rPr>
                <w:rFonts w:hint="eastAsia" w:ascii="方正仿宋_GBK" w:hAnsi="方正仿宋_GBK" w:cs="方正仿宋_GBK"/>
                <w:kern w:val="0"/>
                <w:sz w:val="21"/>
                <w:szCs w:val="21"/>
                <w:lang w:bidi="ar"/>
              </w:rPr>
              <w:t>智能体会话</w:t>
            </w:r>
            <w:r>
              <w:rPr>
                <w:rFonts w:cs="Times New Roman"/>
                <w:kern w:val="0"/>
                <w:sz w:val="21"/>
                <w:szCs w:val="21"/>
                <w:lang w:bidi="ar"/>
              </w:rPr>
              <w:t>Token</w:t>
            </w:r>
            <w:r>
              <w:rPr>
                <w:rFonts w:hint="eastAsia" w:ascii="方正仿宋_GBK" w:hAnsi="方正仿宋_GBK" w:cs="方正仿宋_GBK"/>
                <w:kern w:val="0"/>
                <w:sz w:val="21"/>
                <w:szCs w:val="21"/>
                <w:lang w:bidi="ar"/>
              </w:rPr>
              <w:t>相互独立，不可互通复用</w:t>
            </w:r>
          </w:p>
        </w:tc>
      </w:tr>
      <w:tr w14:paraId="669F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57B5B17F">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1430257C">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10DE83D2">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1C598222">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多步骤中间脱敏</w:t>
            </w:r>
          </w:p>
        </w:tc>
        <w:tc>
          <w:tcPr>
            <w:tcW w:w="1901" w:type="pct"/>
            <w:tcMar>
              <w:top w:w="80" w:type="dxa"/>
              <w:left w:w="80" w:type="dxa"/>
              <w:bottom w:w="80" w:type="dxa"/>
              <w:right w:w="80" w:type="dxa"/>
            </w:tcMar>
            <w:vAlign w:val="center"/>
          </w:tcPr>
          <w:p w14:paraId="7947DB6F">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智能体每一步调取集成数据时，实时完成敏感信息清洗</w:t>
            </w:r>
          </w:p>
        </w:tc>
      </w:tr>
      <w:tr w14:paraId="4D8D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0EC48759">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33E02C92">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7C220B49">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19206174">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会话超时销毁</w:t>
            </w:r>
          </w:p>
        </w:tc>
        <w:tc>
          <w:tcPr>
            <w:tcW w:w="1901" w:type="pct"/>
            <w:tcMar>
              <w:top w:w="80" w:type="dxa"/>
              <w:left w:w="80" w:type="dxa"/>
              <w:bottom w:w="80" w:type="dxa"/>
              <w:right w:w="80" w:type="dxa"/>
            </w:tcMar>
            <w:vAlign w:val="center"/>
          </w:tcPr>
          <w:p w14:paraId="46278F68">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对接</w:t>
            </w:r>
            <w:r>
              <w:rPr>
                <w:rFonts w:cs="Times New Roman"/>
                <w:kern w:val="0"/>
                <w:sz w:val="21"/>
                <w:szCs w:val="21"/>
                <w:lang w:bidi="ar"/>
              </w:rPr>
              <w:t>MES</w:t>
            </w:r>
            <w:r>
              <w:rPr>
                <w:rFonts w:hint="eastAsia" w:ascii="方正仿宋_GBK" w:hAnsi="方正仿宋_GBK" w:cs="方正仿宋_GBK"/>
                <w:kern w:val="0"/>
                <w:sz w:val="21"/>
                <w:szCs w:val="21"/>
                <w:lang w:bidi="ar"/>
              </w:rPr>
              <w:t>等高敏感业务智能体闲置超时，立即清空全部关联交互</w:t>
            </w:r>
            <w:r>
              <w:rPr>
                <w:rFonts w:cs="Times New Roman"/>
                <w:kern w:val="0"/>
                <w:sz w:val="21"/>
                <w:szCs w:val="21"/>
                <w:lang w:bidi="ar"/>
              </w:rPr>
              <w:t>Token</w:t>
            </w:r>
          </w:p>
        </w:tc>
      </w:tr>
      <w:tr w14:paraId="7950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4D840FA7">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2A9EF016">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5724A2AA">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51A4A1F6">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跨系统合成脱敏</w:t>
            </w:r>
          </w:p>
        </w:tc>
        <w:tc>
          <w:tcPr>
            <w:tcW w:w="1901" w:type="pct"/>
            <w:tcMar>
              <w:top w:w="80" w:type="dxa"/>
              <w:left w:w="80" w:type="dxa"/>
              <w:bottom w:w="80" w:type="dxa"/>
              <w:right w:w="80" w:type="dxa"/>
            </w:tcMar>
            <w:vAlign w:val="center"/>
          </w:tcPr>
          <w:p w14:paraId="1800F6BC">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融合</w:t>
            </w:r>
            <w:r>
              <w:rPr>
                <w:rFonts w:cs="Times New Roman"/>
                <w:kern w:val="0"/>
                <w:sz w:val="21"/>
                <w:szCs w:val="21"/>
                <w:lang w:bidi="ar"/>
              </w:rPr>
              <w:t>SAP</w:t>
            </w:r>
            <w:r>
              <w:rPr>
                <w:rFonts w:hint="eastAsia" w:ascii="方正仿宋_GBK" w:hAnsi="方正仿宋_GBK" w:cs="方正仿宋_GBK"/>
                <w:kern w:val="0"/>
                <w:sz w:val="21"/>
                <w:szCs w:val="21"/>
                <w:lang w:bidi="ar"/>
              </w:rPr>
              <w:t>财务、</w:t>
            </w:r>
            <w:r>
              <w:rPr>
                <w:rFonts w:cs="Times New Roman"/>
                <w:kern w:val="0"/>
                <w:sz w:val="21"/>
                <w:szCs w:val="21"/>
                <w:lang w:bidi="ar"/>
              </w:rPr>
              <w:t>MES</w:t>
            </w:r>
            <w:r>
              <w:rPr>
                <w:rFonts w:hint="eastAsia" w:ascii="方正仿宋_GBK" w:hAnsi="方正仿宋_GBK" w:cs="方正仿宋_GBK"/>
                <w:kern w:val="0"/>
                <w:sz w:val="21"/>
                <w:szCs w:val="21"/>
                <w:lang w:bidi="ar"/>
              </w:rPr>
              <w:t>生产数据生成综合</w:t>
            </w:r>
            <w:r>
              <w:rPr>
                <w:rFonts w:cs="Times New Roman"/>
                <w:kern w:val="0"/>
                <w:sz w:val="21"/>
                <w:szCs w:val="21"/>
                <w:lang w:bidi="ar"/>
              </w:rPr>
              <w:t>Token</w:t>
            </w:r>
            <w:r>
              <w:rPr>
                <w:rFonts w:hint="eastAsia" w:ascii="方正仿宋_GBK" w:hAnsi="方正仿宋_GBK" w:cs="方正仿宋_GBK"/>
                <w:kern w:val="0"/>
                <w:sz w:val="21"/>
                <w:szCs w:val="21"/>
                <w:lang w:bidi="ar"/>
              </w:rPr>
              <w:t>时，双重脱敏屏蔽交叉敏感信息</w:t>
            </w:r>
          </w:p>
        </w:tc>
      </w:tr>
      <w:tr w14:paraId="7B4F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1FB8533D">
            <w:pPr>
              <w:spacing w:line="300" w:lineRule="exact"/>
              <w:ind w:firstLine="0" w:firstLineChars="0"/>
              <w:jc w:val="center"/>
              <w:rPr>
                <w:rFonts w:cs="Times New Roman"/>
                <w:kern w:val="0"/>
                <w:sz w:val="21"/>
                <w:szCs w:val="21"/>
                <w:lang w:bidi="ar"/>
              </w:rPr>
            </w:pPr>
            <w:r>
              <w:rPr>
                <w:rFonts w:cs="Times New Roman"/>
                <w:kern w:val="0"/>
                <w:sz w:val="21"/>
                <w:szCs w:val="21"/>
                <w:lang w:bidi="ar"/>
              </w:rPr>
              <w:t>8</w:t>
            </w:r>
          </w:p>
        </w:tc>
        <w:tc>
          <w:tcPr>
            <w:tcW w:w="764" w:type="pct"/>
            <w:vMerge w:val="restart"/>
            <w:tcMar>
              <w:top w:w="80" w:type="dxa"/>
              <w:left w:w="80" w:type="dxa"/>
              <w:bottom w:w="80" w:type="dxa"/>
              <w:right w:w="80" w:type="dxa"/>
            </w:tcMar>
            <w:vAlign w:val="center"/>
          </w:tcPr>
          <w:p w14:paraId="7BBB9565">
            <w:pPr>
              <w:spacing w:line="300" w:lineRule="exact"/>
              <w:ind w:firstLine="0" w:firstLineChars="0"/>
              <w:jc w:val="center"/>
              <w:rPr>
                <w:rFonts w:cs="Times New Roman"/>
                <w:kern w:val="0"/>
                <w:sz w:val="21"/>
                <w:szCs w:val="21"/>
                <w:lang w:bidi="ar"/>
              </w:rPr>
            </w:pPr>
            <w:r>
              <w:rPr>
                <w:rFonts w:cs="Times New Roman"/>
                <w:kern w:val="0"/>
                <w:sz w:val="21"/>
                <w:szCs w:val="21"/>
                <w:lang w:bidi="ar"/>
              </w:rPr>
              <w:t>第三方工具/联网插件交互Token管控</w:t>
            </w:r>
          </w:p>
        </w:tc>
        <w:tc>
          <w:tcPr>
            <w:tcW w:w="976" w:type="pct"/>
            <w:vMerge w:val="restart"/>
            <w:tcMar>
              <w:top w:w="80" w:type="dxa"/>
              <w:left w:w="80" w:type="dxa"/>
              <w:bottom w:w="80" w:type="dxa"/>
              <w:right w:w="80" w:type="dxa"/>
            </w:tcMar>
            <w:vAlign w:val="center"/>
          </w:tcPr>
          <w:p w14:paraId="5620CDD1">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智能体通过对外集成网关传输</w:t>
            </w:r>
            <w:r>
              <w:rPr>
                <w:rFonts w:cs="Times New Roman"/>
                <w:kern w:val="0"/>
                <w:sz w:val="21"/>
                <w:szCs w:val="21"/>
                <w:lang w:bidi="ar"/>
              </w:rPr>
              <w:t>SAP</w:t>
            </w:r>
            <w:r>
              <w:rPr>
                <w:rFonts w:hint="eastAsia" w:ascii="方正仿宋_GBK" w:hAnsi="方正仿宋_GBK" w:cs="方正仿宋_GBK"/>
                <w:kern w:val="0"/>
                <w:sz w:val="21"/>
                <w:szCs w:val="21"/>
                <w:lang w:bidi="ar"/>
              </w:rPr>
              <w:t>/</w:t>
            </w:r>
            <w:r>
              <w:rPr>
                <w:rFonts w:cs="Times New Roman"/>
                <w:kern w:val="0"/>
                <w:sz w:val="21"/>
                <w:szCs w:val="21"/>
                <w:lang w:bidi="ar"/>
              </w:rPr>
              <w:t>MES</w:t>
            </w:r>
            <w:r>
              <w:rPr>
                <w:rFonts w:hint="eastAsia" w:ascii="方正仿宋_GBK" w:hAnsi="方正仿宋_GBK" w:cs="方正仿宋_GBK"/>
                <w:kern w:val="0"/>
                <w:sz w:val="21"/>
                <w:szCs w:val="21"/>
                <w:lang w:bidi="ar"/>
              </w:rPr>
              <w:t>业务</w:t>
            </w:r>
            <w:r>
              <w:rPr>
                <w:rFonts w:cs="Times New Roman"/>
                <w:kern w:val="0"/>
                <w:sz w:val="21"/>
                <w:szCs w:val="21"/>
                <w:lang w:bidi="ar"/>
              </w:rPr>
              <w:t>Token</w:t>
            </w:r>
            <w:r>
              <w:rPr>
                <w:rFonts w:hint="eastAsia" w:ascii="方正仿宋_GBK" w:hAnsi="方正仿宋_GBK" w:cs="方正仿宋_GBK"/>
                <w:kern w:val="0"/>
                <w:sz w:val="21"/>
                <w:szCs w:val="21"/>
                <w:lang w:bidi="ar"/>
              </w:rPr>
              <w:t>至外网工具、公网传输</w:t>
            </w:r>
          </w:p>
        </w:tc>
        <w:tc>
          <w:tcPr>
            <w:tcW w:w="911" w:type="pct"/>
            <w:tcMar>
              <w:top w:w="80" w:type="dxa"/>
              <w:left w:w="80" w:type="dxa"/>
              <w:bottom w:w="80" w:type="dxa"/>
              <w:right w:w="80" w:type="dxa"/>
            </w:tcMar>
            <w:vAlign w:val="center"/>
          </w:tcPr>
          <w:p w14:paraId="135A35D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敏感</w:t>
            </w:r>
            <w:r>
              <w:rPr>
                <w:rFonts w:cs="Times New Roman"/>
                <w:kern w:val="0"/>
                <w:sz w:val="21"/>
                <w:szCs w:val="21"/>
                <w:lang w:bidi="ar"/>
              </w:rPr>
              <w:t>Token</w:t>
            </w:r>
            <w:r>
              <w:rPr>
                <w:rFonts w:hint="eastAsia" w:ascii="方正仿宋_GBK" w:hAnsi="方正仿宋_GBK" w:cs="方正仿宋_GBK"/>
                <w:kern w:val="0"/>
                <w:sz w:val="21"/>
                <w:szCs w:val="21"/>
                <w:lang w:bidi="ar"/>
              </w:rPr>
              <w:t>剥离</w:t>
            </w:r>
          </w:p>
        </w:tc>
        <w:tc>
          <w:tcPr>
            <w:tcW w:w="1901" w:type="pct"/>
            <w:tcMar>
              <w:top w:w="80" w:type="dxa"/>
              <w:left w:w="80" w:type="dxa"/>
              <w:bottom w:w="80" w:type="dxa"/>
              <w:right w:w="80" w:type="dxa"/>
            </w:tcMar>
            <w:vAlign w:val="center"/>
          </w:tcPr>
          <w:p w14:paraId="758B886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向外传输前自动清除</w:t>
            </w:r>
            <w:r>
              <w:rPr>
                <w:rFonts w:cs="Times New Roman"/>
                <w:kern w:val="0"/>
                <w:sz w:val="21"/>
                <w:szCs w:val="21"/>
                <w:lang w:bidi="ar"/>
              </w:rPr>
              <w:t>MES</w:t>
            </w:r>
            <w:r>
              <w:rPr>
                <w:rFonts w:hint="eastAsia" w:ascii="方正仿宋_GBK" w:hAnsi="方正仿宋_GBK" w:cs="方正仿宋_GBK"/>
                <w:kern w:val="0"/>
                <w:sz w:val="21"/>
                <w:szCs w:val="21"/>
                <w:lang w:bidi="ar"/>
              </w:rPr>
              <w:t>批次、</w:t>
            </w:r>
            <w:r>
              <w:rPr>
                <w:rFonts w:cs="Times New Roman"/>
                <w:kern w:val="0"/>
                <w:sz w:val="21"/>
                <w:szCs w:val="21"/>
                <w:lang w:bidi="ar"/>
              </w:rPr>
              <w:t>SAP</w:t>
            </w:r>
            <w:r>
              <w:rPr>
                <w:rFonts w:hint="eastAsia" w:ascii="方正仿宋_GBK" w:hAnsi="方正仿宋_GBK" w:cs="方正仿宋_GBK"/>
                <w:kern w:val="0"/>
                <w:sz w:val="21"/>
                <w:szCs w:val="21"/>
                <w:lang w:bidi="ar"/>
              </w:rPr>
              <w:t>成本、</w:t>
            </w:r>
            <w:r>
              <w:rPr>
                <w:rFonts w:cs="Times New Roman"/>
                <w:kern w:val="0"/>
                <w:sz w:val="21"/>
                <w:szCs w:val="21"/>
                <w:lang w:bidi="ar"/>
              </w:rPr>
              <w:t>PLM</w:t>
            </w:r>
            <w:r>
              <w:rPr>
                <w:rFonts w:hint="eastAsia" w:ascii="方正仿宋_GBK" w:hAnsi="方正仿宋_GBK" w:cs="方正仿宋_GBK"/>
                <w:kern w:val="0"/>
                <w:sz w:val="21"/>
                <w:szCs w:val="21"/>
                <w:lang w:bidi="ar"/>
              </w:rPr>
              <w:t>工艺类</w:t>
            </w:r>
            <w:r>
              <w:rPr>
                <w:rFonts w:cs="Times New Roman"/>
                <w:kern w:val="0"/>
                <w:sz w:val="21"/>
                <w:szCs w:val="21"/>
                <w:lang w:bidi="ar"/>
              </w:rPr>
              <w:t>Token</w:t>
            </w:r>
            <w:r>
              <w:rPr>
                <w:rFonts w:hint="eastAsia" w:ascii="方正仿宋_GBK" w:hAnsi="方正仿宋_GBK" w:cs="方正仿宋_GBK"/>
                <w:kern w:val="0"/>
                <w:sz w:val="21"/>
                <w:szCs w:val="21"/>
                <w:lang w:bidi="ar"/>
              </w:rPr>
              <w:t>，仅保留脱敏统计</w:t>
            </w:r>
            <w:r>
              <w:rPr>
                <w:rFonts w:cs="Times New Roman"/>
                <w:kern w:val="0"/>
                <w:sz w:val="21"/>
                <w:szCs w:val="21"/>
                <w:lang w:bidi="ar"/>
              </w:rPr>
              <w:t>Token</w:t>
            </w:r>
          </w:p>
        </w:tc>
      </w:tr>
      <w:tr w14:paraId="5999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78D4CE35">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60DEFC04">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58536E6A">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50FFD6CD">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插件返回重校验</w:t>
            </w:r>
          </w:p>
        </w:tc>
        <w:tc>
          <w:tcPr>
            <w:tcW w:w="1901" w:type="pct"/>
            <w:tcMar>
              <w:top w:w="80" w:type="dxa"/>
              <w:left w:w="80" w:type="dxa"/>
              <w:bottom w:w="80" w:type="dxa"/>
              <w:right w:w="80" w:type="dxa"/>
            </w:tcMar>
            <w:vAlign w:val="center"/>
          </w:tcPr>
          <w:p w14:paraId="30270064">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第三方返回内容生成新</w:t>
            </w:r>
            <w:r>
              <w:rPr>
                <w:rFonts w:cs="Times New Roman"/>
                <w:kern w:val="0"/>
                <w:sz w:val="21"/>
                <w:szCs w:val="21"/>
                <w:lang w:bidi="ar"/>
              </w:rPr>
              <w:t>Token</w:t>
            </w:r>
            <w:r>
              <w:rPr>
                <w:rFonts w:hint="eastAsia" w:ascii="方正仿宋_GBK" w:hAnsi="方正仿宋_GBK" w:cs="方正仿宋_GBK"/>
                <w:kern w:val="0"/>
                <w:sz w:val="21"/>
                <w:szCs w:val="21"/>
                <w:lang w:bidi="ar"/>
              </w:rPr>
              <w:t>，回传工业集成接口前重新开展脱敏审核</w:t>
            </w:r>
          </w:p>
        </w:tc>
      </w:tr>
      <w:tr w14:paraId="1B8C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70CF0F76">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69F34289">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5FCE5882">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228E1C09">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公网传输强加密</w:t>
            </w:r>
          </w:p>
        </w:tc>
        <w:tc>
          <w:tcPr>
            <w:tcW w:w="1901" w:type="pct"/>
            <w:tcMar>
              <w:top w:w="80" w:type="dxa"/>
              <w:left w:w="80" w:type="dxa"/>
              <w:bottom w:w="80" w:type="dxa"/>
              <w:right w:w="80" w:type="dxa"/>
            </w:tcMar>
            <w:vAlign w:val="center"/>
          </w:tcPr>
          <w:p w14:paraId="419DA275">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对外传输链路全程加密，禁止携带原始系统标识、业务主键出域</w:t>
            </w:r>
          </w:p>
        </w:tc>
      </w:tr>
      <w:tr w14:paraId="26D9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12052C9C">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04A3AD3B">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6BB23E11">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759DE809">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完整单据阻断</w:t>
            </w:r>
          </w:p>
        </w:tc>
        <w:tc>
          <w:tcPr>
            <w:tcW w:w="1901" w:type="pct"/>
            <w:tcMar>
              <w:top w:w="80" w:type="dxa"/>
              <w:left w:w="80" w:type="dxa"/>
              <w:bottom w:w="80" w:type="dxa"/>
              <w:right w:w="80" w:type="dxa"/>
            </w:tcMar>
            <w:vAlign w:val="center"/>
          </w:tcPr>
          <w:p w14:paraId="149ECDD7">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不允许完整工单、采购合同类</w:t>
            </w:r>
            <w:r>
              <w:rPr>
                <w:rFonts w:cs="Times New Roman"/>
                <w:kern w:val="0"/>
                <w:sz w:val="21"/>
                <w:szCs w:val="21"/>
                <w:lang w:bidi="ar"/>
              </w:rPr>
              <w:t>Token</w:t>
            </w:r>
            <w:r>
              <w:rPr>
                <w:rFonts w:hint="eastAsia" w:ascii="方正仿宋_GBK" w:hAnsi="方正仿宋_GBK" w:cs="方正仿宋_GBK"/>
                <w:kern w:val="0"/>
                <w:sz w:val="21"/>
                <w:szCs w:val="21"/>
                <w:lang w:bidi="ar"/>
              </w:rPr>
              <w:t>通过插件接口对外传输</w:t>
            </w:r>
          </w:p>
        </w:tc>
      </w:tr>
      <w:tr w14:paraId="6117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3DFB8213">
            <w:pPr>
              <w:spacing w:line="300" w:lineRule="exact"/>
              <w:ind w:firstLine="0" w:firstLineChars="0"/>
              <w:jc w:val="center"/>
              <w:rPr>
                <w:rFonts w:cs="Times New Roman"/>
                <w:kern w:val="0"/>
                <w:sz w:val="21"/>
                <w:szCs w:val="21"/>
                <w:lang w:bidi="ar"/>
              </w:rPr>
            </w:pPr>
            <w:r>
              <w:rPr>
                <w:rFonts w:cs="Times New Roman"/>
                <w:kern w:val="0"/>
                <w:sz w:val="21"/>
                <w:szCs w:val="21"/>
                <w:lang w:bidi="ar"/>
              </w:rPr>
              <w:t>9</w:t>
            </w:r>
          </w:p>
        </w:tc>
        <w:tc>
          <w:tcPr>
            <w:tcW w:w="764" w:type="pct"/>
            <w:vMerge w:val="restart"/>
            <w:tcMar>
              <w:top w:w="80" w:type="dxa"/>
              <w:left w:w="80" w:type="dxa"/>
              <w:bottom w:w="80" w:type="dxa"/>
              <w:right w:w="80" w:type="dxa"/>
            </w:tcMar>
            <w:vAlign w:val="center"/>
          </w:tcPr>
          <w:p w14:paraId="18F06F59">
            <w:pPr>
              <w:spacing w:line="300" w:lineRule="exact"/>
              <w:ind w:firstLine="0" w:firstLineChars="0"/>
              <w:jc w:val="center"/>
              <w:rPr>
                <w:rFonts w:cs="Times New Roman"/>
                <w:kern w:val="0"/>
                <w:sz w:val="21"/>
                <w:szCs w:val="21"/>
                <w:lang w:bidi="ar"/>
              </w:rPr>
            </w:pPr>
            <w:r>
              <w:rPr>
                <w:rFonts w:cs="Times New Roman"/>
                <w:kern w:val="0"/>
                <w:sz w:val="21"/>
                <w:szCs w:val="21"/>
                <w:lang w:bidi="ar"/>
              </w:rPr>
              <w:t>跨场景/跨租户Token流转传输</w:t>
            </w:r>
          </w:p>
        </w:tc>
        <w:tc>
          <w:tcPr>
            <w:tcW w:w="976" w:type="pct"/>
            <w:vMerge w:val="restart"/>
            <w:tcMar>
              <w:top w:w="80" w:type="dxa"/>
              <w:left w:w="80" w:type="dxa"/>
              <w:bottom w:w="80" w:type="dxa"/>
              <w:right w:w="80" w:type="dxa"/>
            </w:tcMar>
            <w:vAlign w:val="center"/>
          </w:tcPr>
          <w:p w14:paraId="2BFDE23D">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多厂区</w:t>
            </w:r>
            <w:r>
              <w:rPr>
                <w:rFonts w:cs="Times New Roman"/>
                <w:kern w:val="0"/>
                <w:sz w:val="21"/>
                <w:szCs w:val="21"/>
                <w:lang w:bidi="ar"/>
              </w:rPr>
              <w:t>MES</w:t>
            </w:r>
            <w:r>
              <w:rPr>
                <w:rFonts w:hint="eastAsia" w:ascii="方正仿宋_GBK" w:hAnsi="方正仿宋_GBK" w:cs="方正仿宋_GBK"/>
                <w:kern w:val="0"/>
                <w:sz w:val="21"/>
                <w:szCs w:val="21"/>
                <w:lang w:bidi="ar"/>
              </w:rPr>
              <w:t>、集团</w:t>
            </w:r>
            <w:r>
              <w:rPr>
                <w:rFonts w:cs="Times New Roman"/>
                <w:kern w:val="0"/>
                <w:sz w:val="21"/>
                <w:szCs w:val="21"/>
                <w:lang w:bidi="ar"/>
              </w:rPr>
              <w:t>SAP</w:t>
            </w:r>
            <w:r>
              <w:rPr>
                <w:rFonts w:hint="eastAsia" w:ascii="方正仿宋_GBK" w:hAnsi="方正仿宋_GBK" w:cs="方正仿宋_GBK"/>
                <w:kern w:val="0"/>
                <w:sz w:val="21"/>
                <w:szCs w:val="21"/>
                <w:lang w:bidi="ar"/>
              </w:rPr>
              <w:t>跨集成同步</w:t>
            </w:r>
            <w:r>
              <w:rPr>
                <w:rFonts w:cs="Times New Roman"/>
                <w:kern w:val="0"/>
                <w:sz w:val="21"/>
                <w:szCs w:val="21"/>
                <w:lang w:bidi="ar"/>
              </w:rPr>
              <w:t>Token</w:t>
            </w:r>
            <w:r>
              <w:rPr>
                <w:rFonts w:hint="eastAsia" w:ascii="方正仿宋_GBK" w:hAnsi="方正仿宋_GBK" w:cs="方正仿宋_GBK"/>
                <w:kern w:val="0"/>
                <w:sz w:val="21"/>
                <w:szCs w:val="21"/>
                <w:lang w:bidi="ar"/>
              </w:rPr>
              <w:t>；本地-公有云双向传输</w:t>
            </w:r>
          </w:p>
        </w:tc>
        <w:tc>
          <w:tcPr>
            <w:tcW w:w="911" w:type="pct"/>
            <w:tcMar>
              <w:top w:w="80" w:type="dxa"/>
              <w:left w:w="80" w:type="dxa"/>
              <w:bottom w:w="80" w:type="dxa"/>
              <w:right w:w="80" w:type="dxa"/>
            </w:tcMar>
            <w:vAlign w:val="center"/>
          </w:tcPr>
          <w:p w14:paraId="7753149A">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跨域传输前置重脱敏</w:t>
            </w:r>
          </w:p>
        </w:tc>
        <w:tc>
          <w:tcPr>
            <w:tcW w:w="1901" w:type="pct"/>
            <w:tcMar>
              <w:top w:w="80" w:type="dxa"/>
              <w:left w:w="80" w:type="dxa"/>
              <w:bottom w:w="80" w:type="dxa"/>
              <w:right w:w="80" w:type="dxa"/>
            </w:tcMar>
            <w:vAlign w:val="center"/>
          </w:tcPr>
          <w:p w14:paraId="51B4E835">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Token</w:t>
            </w:r>
            <w:r>
              <w:rPr>
                <w:rFonts w:hint="eastAsia" w:ascii="方正仿宋_GBK" w:hAnsi="方正仿宋_GBK" w:cs="方正仿宋_GBK"/>
                <w:kern w:val="0"/>
                <w:sz w:val="21"/>
                <w:szCs w:val="21"/>
                <w:lang w:bidi="ar"/>
              </w:rPr>
              <w:t>跨安全域、跨租户集成网关前，全量重新清洗敏感信息</w:t>
            </w:r>
          </w:p>
        </w:tc>
      </w:tr>
      <w:tr w14:paraId="6C17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09959CA5">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5BC95C95">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7D210D45">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18E53425">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传输通道隔离</w:t>
            </w:r>
          </w:p>
        </w:tc>
        <w:tc>
          <w:tcPr>
            <w:tcW w:w="1901" w:type="pct"/>
            <w:tcMar>
              <w:top w:w="80" w:type="dxa"/>
              <w:left w:w="80" w:type="dxa"/>
              <w:bottom w:w="80" w:type="dxa"/>
              <w:right w:w="80" w:type="dxa"/>
            </w:tcMar>
            <w:vAlign w:val="center"/>
          </w:tcPr>
          <w:p w14:paraId="0E5A3366">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高敏感工艺</w:t>
            </w:r>
            <w:r>
              <w:rPr>
                <w:rFonts w:cs="Times New Roman"/>
                <w:kern w:val="0"/>
                <w:sz w:val="21"/>
                <w:szCs w:val="21"/>
                <w:lang w:bidi="ar"/>
              </w:rPr>
              <w:t>Token</w:t>
            </w:r>
            <w:r>
              <w:rPr>
                <w:rFonts w:hint="eastAsia" w:ascii="方正仿宋_GBK" w:hAnsi="方正仿宋_GBK" w:cs="方正仿宋_GBK"/>
                <w:kern w:val="0"/>
                <w:sz w:val="21"/>
                <w:szCs w:val="21"/>
                <w:lang w:bidi="ar"/>
              </w:rPr>
              <w:t>仅内网集成链路流转，区分生产、办公外网独立传输通道</w:t>
            </w:r>
          </w:p>
        </w:tc>
      </w:tr>
      <w:tr w14:paraId="292C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09BBF66C">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5CB3B7AE">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58785316">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16211E69">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租户逻辑隔离</w:t>
            </w:r>
          </w:p>
        </w:tc>
        <w:tc>
          <w:tcPr>
            <w:tcW w:w="1901" w:type="pct"/>
            <w:tcMar>
              <w:top w:w="80" w:type="dxa"/>
              <w:left w:w="80" w:type="dxa"/>
              <w:bottom w:w="80" w:type="dxa"/>
              <w:right w:w="80" w:type="dxa"/>
            </w:tcMar>
            <w:vAlign w:val="center"/>
          </w:tcPr>
          <w:p w14:paraId="50F24F6D">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不同工厂业务</w:t>
            </w:r>
            <w:r>
              <w:rPr>
                <w:rFonts w:cs="Times New Roman"/>
                <w:kern w:val="0"/>
                <w:sz w:val="21"/>
                <w:szCs w:val="21"/>
                <w:lang w:bidi="ar"/>
              </w:rPr>
              <w:t>Token</w:t>
            </w:r>
            <w:r>
              <w:rPr>
                <w:rFonts w:hint="eastAsia" w:ascii="方正仿宋_GBK" w:hAnsi="方正仿宋_GBK" w:cs="方正仿宋_GBK"/>
                <w:kern w:val="0"/>
                <w:sz w:val="21"/>
                <w:szCs w:val="21"/>
                <w:lang w:bidi="ar"/>
              </w:rPr>
              <w:t>分区存储，跨租户调取数据需重新生成脱敏</w:t>
            </w:r>
            <w:r>
              <w:rPr>
                <w:rFonts w:cs="Times New Roman"/>
                <w:kern w:val="0"/>
                <w:sz w:val="21"/>
                <w:szCs w:val="21"/>
                <w:lang w:bidi="ar"/>
              </w:rPr>
              <w:t>Token</w:t>
            </w:r>
          </w:p>
        </w:tc>
      </w:tr>
      <w:tr w14:paraId="44C3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609E5178">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2F8893B8">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4BB5E844">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0B0EB16B">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无脱敏标记阻断</w:t>
            </w:r>
          </w:p>
        </w:tc>
        <w:tc>
          <w:tcPr>
            <w:tcW w:w="1901" w:type="pct"/>
            <w:tcMar>
              <w:top w:w="80" w:type="dxa"/>
              <w:left w:w="80" w:type="dxa"/>
              <w:bottom w:w="80" w:type="dxa"/>
              <w:right w:w="80" w:type="dxa"/>
            </w:tcMar>
            <w:vAlign w:val="center"/>
          </w:tcPr>
          <w:p w14:paraId="4E91A1EF">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网关校验</w:t>
            </w:r>
            <w:r>
              <w:rPr>
                <w:rFonts w:cs="Times New Roman"/>
                <w:kern w:val="0"/>
                <w:sz w:val="21"/>
                <w:szCs w:val="21"/>
                <w:lang w:bidi="ar"/>
              </w:rPr>
              <w:t>Token</w:t>
            </w:r>
            <w:r>
              <w:rPr>
                <w:rFonts w:hint="eastAsia" w:ascii="方正仿宋_GBK" w:hAnsi="方正仿宋_GBK" w:cs="方正仿宋_GBK"/>
                <w:kern w:val="0"/>
                <w:sz w:val="21"/>
                <w:szCs w:val="21"/>
                <w:lang w:bidi="ar"/>
              </w:rPr>
              <w:t>脱敏标签，标签失效直接阻断整套数据流转</w:t>
            </w:r>
          </w:p>
        </w:tc>
      </w:tr>
      <w:tr w14:paraId="18C2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17C1DC9D">
            <w:pPr>
              <w:spacing w:line="300" w:lineRule="exact"/>
              <w:ind w:firstLine="0" w:firstLineChars="0"/>
              <w:jc w:val="center"/>
              <w:rPr>
                <w:rFonts w:cs="Times New Roman"/>
                <w:kern w:val="0"/>
                <w:sz w:val="21"/>
                <w:szCs w:val="21"/>
                <w:lang w:bidi="ar"/>
              </w:rPr>
            </w:pPr>
            <w:r>
              <w:rPr>
                <w:rFonts w:cs="Times New Roman"/>
                <w:kern w:val="0"/>
                <w:sz w:val="21"/>
                <w:szCs w:val="21"/>
                <w:lang w:bidi="ar"/>
              </w:rPr>
              <w:t>10</w:t>
            </w:r>
          </w:p>
        </w:tc>
        <w:tc>
          <w:tcPr>
            <w:tcW w:w="764" w:type="pct"/>
            <w:vMerge w:val="restart"/>
            <w:tcMar>
              <w:top w:w="80" w:type="dxa"/>
              <w:left w:w="80" w:type="dxa"/>
              <w:bottom w:w="80" w:type="dxa"/>
              <w:right w:w="80" w:type="dxa"/>
            </w:tcMar>
            <w:vAlign w:val="center"/>
          </w:tcPr>
          <w:p w14:paraId="49A8C0D6">
            <w:pPr>
              <w:spacing w:line="300" w:lineRule="exact"/>
              <w:ind w:firstLine="0" w:firstLineChars="0"/>
              <w:jc w:val="center"/>
              <w:rPr>
                <w:rFonts w:cs="Times New Roman"/>
                <w:kern w:val="0"/>
                <w:sz w:val="21"/>
                <w:szCs w:val="21"/>
                <w:lang w:bidi="ar"/>
              </w:rPr>
            </w:pPr>
            <w:r>
              <w:rPr>
                <w:rFonts w:cs="Times New Roman"/>
                <w:kern w:val="0"/>
                <w:sz w:val="21"/>
                <w:szCs w:val="21"/>
                <w:lang w:bidi="ar"/>
              </w:rPr>
              <w:t>Token过期与销毁管控</w:t>
            </w:r>
          </w:p>
        </w:tc>
        <w:tc>
          <w:tcPr>
            <w:tcW w:w="976" w:type="pct"/>
            <w:vMerge w:val="restart"/>
            <w:tcMar>
              <w:top w:w="80" w:type="dxa"/>
              <w:left w:w="80" w:type="dxa"/>
              <w:bottom w:w="80" w:type="dxa"/>
              <w:right w:w="80" w:type="dxa"/>
            </w:tcMar>
            <w:vAlign w:val="center"/>
          </w:tcPr>
          <w:p w14:paraId="36CFE73E">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系统集成历史交互</w:t>
            </w:r>
            <w:r>
              <w:rPr>
                <w:rFonts w:cs="Times New Roman"/>
                <w:kern w:val="0"/>
                <w:sz w:val="21"/>
                <w:szCs w:val="21"/>
                <w:lang w:bidi="ar"/>
              </w:rPr>
              <w:t>Token</w:t>
            </w:r>
            <w:r>
              <w:rPr>
                <w:rFonts w:hint="eastAsia" w:ascii="方正仿宋_GBK" w:hAnsi="方正仿宋_GBK" w:cs="方正仿宋_GBK"/>
                <w:kern w:val="0"/>
                <w:sz w:val="21"/>
                <w:szCs w:val="21"/>
                <w:lang w:bidi="ar"/>
              </w:rPr>
              <w:t>、过期工艺向量</w:t>
            </w:r>
            <w:r>
              <w:rPr>
                <w:rFonts w:cs="Times New Roman"/>
                <w:kern w:val="0"/>
                <w:sz w:val="21"/>
                <w:szCs w:val="21"/>
                <w:lang w:bidi="ar"/>
              </w:rPr>
              <w:t>Token</w:t>
            </w:r>
            <w:r>
              <w:rPr>
                <w:rFonts w:hint="eastAsia" w:ascii="方正仿宋_GBK" w:hAnsi="方正仿宋_GBK" w:cs="方正仿宋_GBK"/>
                <w:kern w:val="0"/>
                <w:sz w:val="21"/>
                <w:szCs w:val="21"/>
                <w:lang w:bidi="ar"/>
              </w:rPr>
              <w:t>、会话缓存、传输缓冲</w:t>
            </w:r>
            <w:r>
              <w:rPr>
                <w:rFonts w:cs="Times New Roman"/>
                <w:kern w:val="0"/>
                <w:sz w:val="21"/>
                <w:szCs w:val="21"/>
                <w:lang w:bidi="ar"/>
              </w:rPr>
              <w:t>Token</w:t>
            </w:r>
          </w:p>
        </w:tc>
        <w:tc>
          <w:tcPr>
            <w:tcW w:w="911" w:type="pct"/>
            <w:tcMar>
              <w:top w:w="80" w:type="dxa"/>
              <w:left w:w="80" w:type="dxa"/>
              <w:bottom w:w="80" w:type="dxa"/>
              <w:right w:w="80" w:type="dxa"/>
            </w:tcMar>
            <w:vAlign w:val="center"/>
          </w:tcPr>
          <w:p w14:paraId="5EB14DE8">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分级定时销毁</w:t>
            </w:r>
          </w:p>
        </w:tc>
        <w:tc>
          <w:tcPr>
            <w:tcW w:w="1901" w:type="pct"/>
            <w:tcMar>
              <w:top w:w="80" w:type="dxa"/>
              <w:left w:w="80" w:type="dxa"/>
              <w:bottom w:w="80" w:type="dxa"/>
              <w:right w:w="80" w:type="dxa"/>
            </w:tcMar>
            <w:vAlign w:val="center"/>
          </w:tcPr>
          <w:p w14:paraId="788E8BA3">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MES</w:t>
            </w:r>
            <w:r>
              <w:rPr>
                <w:rFonts w:hint="eastAsia" w:ascii="方正仿宋_GBK" w:hAnsi="方正仿宋_GBK" w:cs="方正仿宋_GBK"/>
                <w:kern w:val="0"/>
                <w:sz w:val="21"/>
                <w:szCs w:val="21"/>
                <w:lang w:bidi="ar"/>
              </w:rPr>
              <w:t>工艺、</w:t>
            </w:r>
            <w:r>
              <w:rPr>
                <w:rFonts w:cs="Times New Roman"/>
                <w:kern w:val="0"/>
                <w:sz w:val="21"/>
                <w:szCs w:val="21"/>
                <w:lang w:bidi="ar"/>
              </w:rPr>
              <w:t>SAP</w:t>
            </w:r>
            <w:r>
              <w:rPr>
                <w:rFonts w:hint="eastAsia" w:ascii="方正仿宋_GBK" w:hAnsi="方正仿宋_GBK" w:cs="方正仿宋_GBK"/>
                <w:kern w:val="0"/>
                <w:sz w:val="21"/>
                <w:szCs w:val="21"/>
                <w:lang w:bidi="ar"/>
              </w:rPr>
              <w:t>财务高敏感</w:t>
            </w:r>
            <w:r>
              <w:rPr>
                <w:rFonts w:cs="Times New Roman"/>
                <w:kern w:val="0"/>
                <w:sz w:val="21"/>
                <w:szCs w:val="21"/>
                <w:lang w:bidi="ar"/>
              </w:rPr>
              <w:t>Token</w:t>
            </w:r>
            <w:r>
              <w:rPr>
                <w:rFonts w:hint="eastAsia" w:ascii="方正仿宋_GBK" w:hAnsi="方正仿宋_GBK" w:cs="方正仿宋_GBK"/>
                <w:kern w:val="0"/>
                <w:sz w:val="21"/>
                <w:szCs w:val="21"/>
                <w:lang w:bidi="ar"/>
              </w:rPr>
              <w:t>会话结束立即销毁；普通业务按周期自动清理</w:t>
            </w:r>
          </w:p>
        </w:tc>
      </w:tr>
      <w:tr w14:paraId="7EA2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41A41C07">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2D928373">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695006BF">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07C8BC2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联动业务删除</w:t>
            </w:r>
          </w:p>
        </w:tc>
        <w:tc>
          <w:tcPr>
            <w:tcW w:w="1901" w:type="pct"/>
            <w:tcMar>
              <w:top w:w="80" w:type="dxa"/>
              <w:left w:w="80" w:type="dxa"/>
              <w:bottom w:w="80" w:type="dxa"/>
              <w:right w:w="80" w:type="dxa"/>
            </w:tcMar>
            <w:vAlign w:val="center"/>
          </w:tcPr>
          <w:p w14:paraId="6ADCB1B3">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SAP</w:t>
            </w:r>
            <w:r>
              <w:rPr>
                <w:rFonts w:hint="eastAsia" w:ascii="方正仿宋_GBK" w:hAnsi="方正仿宋_GBK" w:cs="方正仿宋_GBK"/>
                <w:kern w:val="0"/>
                <w:sz w:val="21"/>
                <w:szCs w:val="21"/>
                <w:lang w:bidi="ar"/>
              </w:rPr>
              <w:t>单据、</w:t>
            </w:r>
            <w:r>
              <w:rPr>
                <w:rFonts w:cs="Times New Roman"/>
                <w:kern w:val="0"/>
                <w:sz w:val="21"/>
                <w:szCs w:val="21"/>
                <w:lang w:bidi="ar"/>
              </w:rPr>
              <w:t>MES</w:t>
            </w:r>
            <w:r>
              <w:rPr>
                <w:rFonts w:hint="eastAsia" w:ascii="方正仿宋_GBK" w:hAnsi="方正仿宋_GBK" w:cs="方正仿宋_GBK"/>
                <w:kern w:val="0"/>
                <w:sz w:val="21"/>
                <w:szCs w:val="21"/>
                <w:lang w:bidi="ar"/>
              </w:rPr>
              <w:t>工单删除后，同步清理缓存、向量库全部关联</w:t>
            </w:r>
            <w:r>
              <w:rPr>
                <w:rFonts w:cs="Times New Roman"/>
                <w:kern w:val="0"/>
                <w:sz w:val="21"/>
                <w:szCs w:val="21"/>
                <w:lang w:bidi="ar"/>
              </w:rPr>
              <w:t>Token</w:t>
            </w:r>
          </w:p>
        </w:tc>
      </w:tr>
      <w:tr w14:paraId="1039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248F72A3">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0157CE30">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1F3D700D">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4A5B45A4">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销毁审计留痕</w:t>
            </w:r>
          </w:p>
        </w:tc>
        <w:tc>
          <w:tcPr>
            <w:tcW w:w="1901" w:type="pct"/>
            <w:tcMar>
              <w:top w:w="80" w:type="dxa"/>
              <w:left w:w="80" w:type="dxa"/>
              <w:bottom w:w="80" w:type="dxa"/>
              <w:right w:w="80" w:type="dxa"/>
            </w:tcMar>
            <w:vAlign w:val="center"/>
          </w:tcPr>
          <w:p w14:paraId="04F243CB">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记录销毁</w:t>
            </w:r>
            <w:r>
              <w:rPr>
                <w:rFonts w:cs="Times New Roman"/>
                <w:kern w:val="0"/>
                <w:sz w:val="21"/>
                <w:szCs w:val="21"/>
                <w:lang w:bidi="ar"/>
              </w:rPr>
              <w:t>Token</w:t>
            </w:r>
            <w:r>
              <w:rPr>
                <w:rFonts w:hint="eastAsia" w:ascii="方正仿宋_GBK" w:hAnsi="方正仿宋_GBK" w:cs="方正仿宋_GBK"/>
                <w:kern w:val="0"/>
                <w:sz w:val="21"/>
                <w:szCs w:val="21"/>
                <w:lang w:bidi="ar"/>
              </w:rPr>
              <w:t>对应系统、集成接口、敏感等级，审计日志长期留存</w:t>
            </w:r>
          </w:p>
        </w:tc>
      </w:tr>
      <w:tr w14:paraId="0944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6E92CCB5">
            <w:pPr>
              <w:spacing w:line="300" w:lineRule="exact"/>
              <w:ind w:firstLine="420"/>
              <w:jc w:val="center"/>
              <w:rPr>
                <w:rFonts w:cs="Times New Roman"/>
                <w:kern w:val="0"/>
                <w:sz w:val="21"/>
                <w:szCs w:val="21"/>
                <w:lang w:bidi="ar"/>
              </w:rPr>
            </w:pPr>
          </w:p>
        </w:tc>
        <w:tc>
          <w:tcPr>
            <w:tcW w:w="764" w:type="pct"/>
            <w:vMerge w:val="continue"/>
            <w:tcMar>
              <w:top w:w="80" w:type="dxa"/>
              <w:left w:w="80" w:type="dxa"/>
              <w:bottom w:w="80" w:type="dxa"/>
              <w:right w:w="80" w:type="dxa"/>
            </w:tcMar>
            <w:vAlign w:val="center"/>
          </w:tcPr>
          <w:p w14:paraId="539E3FCB">
            <w:pPr>
              <w:spacing w:line="300" w:lineRule="exact"/>
              <w:ind w:firstLine="420"/>
              <w:jc w:val="center"/>
              <w:rPr>
                <w:rFonts w:cs="Times New Roman"/>
                <w:kern w:val="0"/>
                <w:sz w:val="21"/>
                <w:szCs w:val="21"/>
                <w:lang w:bidi="ar"/>
              </w:rPr>
            </w:pPr>
          </w:p>
        </w:tc>
        <w:tc>
          <w:tcPr>
            <w:tcW w:w="976" w:type="pct"/>
            <w:vMerge w:val="continue"/>
            <w:tcMar>
              <w:top w:w="80" w:type="dxa"/>
              <w:left w:w="80" w:type="dxa"/>
              <w:bottom w:w="80" w:type="dxa"/>
              <w:right w:w="80" w:type="dxa"/>
            </w:tcMar>
            <w:vAlign w:val="center"/>
          </w:tcPr>
          <w:p w14:paraId="2178ADF6">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69E7D177">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销毁传输中转存</w:t>
            </w:r>
          </w:p>
        </w:tc>
        <w:tc>
          <w:tcPr>
            <w:tcW w:w="1901" w:type="pct"/>
            <w:tcMar>
              <w:top w:w="80" w:type="dxa"/>
              <w:left w:w="80" w:type="dxa"/>
              <w:bottom w:w="80" w:type="dxa"/>
              <w:right w:w="80" w:type="dxa"/>
            </w:tcMar>
            <w:vAlign w:val="center"/>
          </w:tcPr>
          <w:p w14:paraId="3B2A868D">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传输链路临时缓存过期</w:t>
            </w:r>
            <w:r>
              <w:rPr>
                <w:rFonts w:cs="Times New Roman"/>
                <w:kern w:val="0"/>
                <w:sz w:val="21"/>
                <w:szCs w:val="21"/>
                <w:lang w:bidi="ar"/>
              </w:rPr>
              <w:t>Token</w:t>
            </w:r>
            <w:r>
              <w:rPr>
                <w:rFonts w:hint="eastAsia" w:ascii="方正仿宋_GBK" w:hAnsi="方正仿宋_GBK" w:cs="方正仿宋_GBK"/>
                <w:kern w:val="0"/>
                <w:sz w:val="21"/>
                <w:szCs w:val="21"/>
                <w:lang w:bidi="ar"/>
              </w:rPr>
              <w:t>统一加密销毁，无敏感残留</w:t>
            </w:r>
          </w:p>
        </w:tc>
      </w:tr>
      <w:tr w14:paraId="0D37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restart"/>
            <w:tcMar>
              <w:top w:w="80" w:type="dxa"/>
              <w:left w:w="80" w:type="dxa"/>
              <w:bottom w:w="80" w:type="dxa"/>
              <w:right w:w="80" w:type="dxa"/>
            </w:tcMar>
            <w:vAlign w:val="center"/>
          </w:tcPr>
          <w:p w14:paraId="2DAC822D">
            <w:pPr>
              <w:spacing w:line="300" w:lineRule="exact"/>
              <w:ind w:firstLine="0" w:firstLineChars="0"/>
              <w:jc w:val="center"/>
              <w:rPr>
                <w:rFonts w:cs="Times New Roman"/>
                <w:kern w:val="0"/>
                <w:sz w:val="21"/>
                <w:szCs w:val="21"/>
                <w:lang w:bidi="ar"/>
              </w:rPr>
            </w:pPr>
            <w:r>
              <w:rPr>
                <w:rFonts w:cs="Times New Roman"/>
                <w:kern w:val="0"/>
                <w:sz w:val="21"/>
                <w:szCs w:val="21"/>
                <w:lang w:bidi="ar"/>
              </w:rPr>
              <w:t>11</w:t>
            </w:r>
          </w:p>
        </w:tc>
        <w:tc>
          <w:tcPr>
            <w:tcW w:w="764" w:type="pct"/>
            <w:vMerge w:val="restart"/>
            <w:tcMar>
              <w:top w:w="80" w:type="dxa"/>
              <w:left w:w="80" w:type="dxa"/>
              <w:bottom w:w="80" w:type="dxa"/>
              <w:right w:w="80" w:type="dxa"/>
            </w:tcMar>
            <w:vAlign w:val="center"/>
          </w:tcPr>
          <w:p w14:paraId="4F96EB08">
            <w:pPr>
              <w:spacing w:line="300" w:lineRule="exact"/>
              <w:ind w:firstLine="0" w:firstLineChars="0"/>
              <w:jc w:val="center"/>
              <w:rPr>
                <w:rFonts w:cs="Times New Roman"/>
                <w:kern w:val="0"/>
                <w:sz w:val="21"/>
                <w:szCs w:val="21"/>
                <w:lang w:bidi="ar"/>
              </w:rPr>
            </w:pPr>
            <w:r>
              <w:rPr>
                <w:rFonts w:cs="Times New Roman"/>
                <w:kern w:val="0"/>
                <w:sz w:val="21"/>
                <w:szCs w:val="21"/>
                <w:lang w:bidi="ar"/>
              </w:rPr>
              <w:t>批量离线Token任务专项管控</w:t>
            </w:r>
          </w:p>
        </w:tc>
        <w:tc>
          <w:tcPr>
            <w:tcW w:w="976" w:type="pct"/>
            <w:vMerge w:val="restart"/>
            <w:tcMar>
              <w:top w:w="80" w:type="dxa"/>
              <w:left w:w="80" w:type="dxa"/>
              <w:bottom w:w="80" w:type="dxa"/>
              <w:right w:w="80" w:type="dxa"/>
            </w:tcMar>
            <w:vAlign w:val="center"/>
          </w:tcPr>
          <w:p w14:paraId="0D99B0AB">
            <w:pPr>
              <w:spacing w:line="300" w:lineRule="exact"/>
              <w:ind w:firstLine="0" w:firstLineChars="0"/>
              <w:jc w:val="left"/>
              <w:rPr>
                <w:rFonts w:hint="eastAsia" w:ascii="方正仿宋_GBK" w:hAnsi="方正仿宋_GBK" w:cs="方正仿宋_GBK"/>
                <w:kern w:val="0"/>
                <w:sz w:val="21"/>
                <w:szCs w:val="21"/>
                <w:lang w:bidi="ar"/>
              </w:rPr>
            </w:pPr>
            <w:r>
              <w:rPr>
                <w:rFonts w:cs="Times New Roman"/>
                <w:kern w:val="0"/>
                <w:sz w:val="21"/>
                <w:szCs w:val="21"/>
                <w:lang w:bidi="ar"/>
              </w:rPr>
              <w:t>SAP</w:t>
            </w:r>
            <w:r>
              <w:rPr>
                <w:rFonts w:hint="eastAsia" w:ascii="方正仿宋_GBK" w:hAnsi="方正仿宋_GBK" w:cs="方正仿宋_GBK"/>
                <w:kern w:val="0"/>
                <w:sz w:val="21"/>
                <w:szCs w:val="21"/>
                <w:lang w:bidi="ar"/>
              </w:rPr>
              <w:t>月度报表、</w:t>
            </w:r>
            <w:r>
              <w:rPr>
                <w:rFonts w:cs="Times New Roman"/>
                <w:kern w:val="0"/>
                <w:sz w:val="21"/>
                <w:szCs w:val="21"/>
                <w:lang w:bidi="ar"/>
              </w:rPr>
              <w:t>MES</w:t>
            </w:r>
            <w:r>
              <w:rPr>
                <w:rFonts w:hint="eastAsia" w:ascii="方正仿宋_GBK" w:hAnsi="方正仿宋_GBK" w:cs="方正仿宋_GBK"/>
                <w:kern w:val="0"/>
                <w:sz w:val="21"/>
                <w:szCs w:val="21"/>
                <w:lang w:bidi="ar"/>
              </w:rPr>
              <w:t>年度工艺档案、</w:t>
            </w:r>
            <w:r>
              <w:rPr>
                <w:rFonts w:cs="Times New Roman"/>
                <w:kern w:val="0"/>
                <w:sz w:val="21"/>
                <w:szCs w:val="21"/>
                <w:lang w:bidi="ar"/>
              </w:rPr>
              <w:t>PLM</w:t>
            </w:r>
            <w:r>
              <w:rPr>
                <w:rFonts w:hint="eastAsia" w:ascii="方正仿宋_GBK" w:hAnsi="方正仿宋_GBK" w:cs="方正仿宋_GBK"/>
                <w:kern w:val="0"/>
                <w:sz w:val="21"/>
                <w:szCs w:val="21"/>
                <w:lang w:bidi="ar"/>
              </w:rPr>
              <w:t>图纸批量入库、离线微调数据集</w:t>
            </w:r>
          </w:p>
        </w:tc>
        <w:tc>
          <w:tcPr>
            <w:tcW w:w="911" w:type="pct"/>
            <w:tcMar>
              <w:top w:w="80" w:type="dxa"/>
              <w:left w:w="80" w:type="dxa"/>
              <w:bottom w:w="80" w:type="dxa"/>
              <w:right w:w="80" w:type="dxa"/>
            </w:tcMar>
            <w:vAlign w:val="center"/>
          </w:tcPr>
          <w:p w14:paraId="24616644">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批量前置静态脱敏</w:t>
            </w:r>
          </w:p>
        </w:tc>
        <w:tc>
          <w:tcPr>
            <w:tcW w:w="1901" w:type="pct"/>
            <w:tcMar>
              <w:top w:w="80" w:type="dxa"/>
              <w:left w:w="80" w:type="dxa"/>
              <w:bottom w:w="80" w:type="dxa"/>
              <w:right w:w="80" w:type="dxa"/>
            </w:tcMar>
            <w:vAlign w:val="center"/>
          </w:tcPr>
          <w:p w14:paraId="05F71A20">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大批量工业数据集成同步前统一全库脱敏，再批量生成</w:t>
            </w:r>
            <w:r>
              <w:rPr>
                <w:rFonts w:cs="Times New Roman"/>
                <w:kern w:val="0"/>
                <w:sz w:val="21"/>
                <w:szCs w:val="21"/>
                <w:lang w:bidi="ar"/>
              </w:rPr>
              <w:t>Token</w:t>
            </w:r>
          </w:p>
        </w:tc>
      </w:tr>
      <w:tr w14:paraId="4F7E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53A43E53">
            <w:pPr>
              <w:spacing w:line="300" w:lineRule="exact"/>
              <w:ind w:firstLine="420"/>
              <w:jc w:val="left"/>
              <w:rPr>
                <w:rFonts w:hint="eastAsia" w:ascii="方正仿宋_GBK" w:hAnsi="方正仿宋_GBK" w:cs="方正仿宋_GBK"/>
                <w:kern w:val="0"/>
                <w:sz w:val="21"/>
                <w:szCs w:val="21"/>
                <w:lang w:bidi="ar"/>
              </w:rPr>
            </w:pPr>
          </w:p>
        </w:tc>
        <w:tc>
          <w:tcPr>
            <w:tcW w:w="764" w:type="pct"/>
            <w:vMerge w:val="continue"/>
            <w:tcMar>
              <w:top w:w="80" w:type="dxa"/>
              <w:left w:w="80" w:type="dxa"/>
              <w:bottom w:w="80" w:type="dxa"/>
              <w:right w:w="80" w:type="dxa"/>
            </w:tcMar>
            <w:vAlign w:val="center"/>
          </w:tcPr>
          <w:p w14:paraId="161CF277">
            <w:pPr>
              <w:spacing w:line="300" w:lineRule="exact"/>
              <w:ind w:firstLine="420"/>
              <w:jc w:val="left"/>
              <w:rPr>
                <w:rFonts w:hint="eastAsia" w:ascii="方正仿宋_GBK" w:hAnsi="方正仿宋_GBK" w:cs="方正仿宋_GBK"/>
                <w:kern w:val="0"/>
                <w:sz w:val="21"/>
                <w:szCs w:val="21"/>
                <w:lang w:bidi="ar"/>
              </w:rPr>
            </w:pPr>
          </w:p>
        </w:tc>
        <w:tc>
          <w:tcPr>
            <w:tcW w:w="976" w:type="pct"/>
            <w:vMerge w:val="continue"/>
            <w:tcMar>
              <w:top w:w="80" w:type="dxa"/>
              <w:left w:w="80" w:type="dxa"/>
              <w:bottom w:w="80" w:type="dxa"/>
              <w:right w:w="80" w:type="dxa"/>
            </w:tcMar>
            <w:vAlign w:val="center"/>
          </w:tcPr>
          <w:p w14:paraId="2BABEF05">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0904209D">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批量任务限流错峰</w:t>
            </w:r>
          </w:p>
        </w:tc>
        <w:tc>
          <w:tcPr>
            <w:tcW w:w="1901" w:type="pct"/>
            <w:tcMar>
              <w:top w:w="80" w:type="dxa"/>
              <w:left w:w="80" w:type="dxa"/>
              <w:bottom w:w="80" w:type="dxa"/>
              <w:right w:w="80" w:type="dxa"/>
            </w:tcMar>
            <w:vAlign w:val="center"/>
          </w:tcPr>
          <w:p w14:paraId="1D67A67A">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大批量传输调度至业务低峰，不占用产线实时集成带宽</w:t>
            </w:r>
          </w:p>
        </w:tc>
      </w:tr>
      <w:tr w14:paraId="6373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132BB5D4">
            <w:pPr>
              <w:spacing w:line="300" w:lineRule="exact"/>
              <w:ind w:firstLine="420"/>
              <w:jc w:val="left"/>
              <w:rPr>
                <w:rFonts w:hint="eastAsia" w:ascii="方正仿宋_GBK" w:hAnsi="方正仿宋_GBK" w:cs="方正仿宋_GBK"/>
                <w:kern w:val="0"/>
                <w:sz w:val="21"/>
                <w:szCs w:val="21"/>
                <w:lang w:bidi="ar"/>
              </w:rPr>
            </w:pPr>
          </w:p>
        </w:tc>
        <w:tc>
          <w:tcPr>
            <w:tcW w:w="764" w:type="pct"/>
            <w:vMerge w:val="continue"/>
            <w:tcMar>
              <w:top w:w="80" w:type="dxa"/>
              <w:left w:w="80" w:type="dxa"/>
              <w:bottom w:w="80" w:type="dxa"/>
              <w:right w:w="80" w:type="dxa"/>
            </w:tcMar>
            <w:vAlign w:val="center"/>
          </w:tcPr>
          <w:p w14:paraId="293DDEC2">
            <w:pPr>
              <w:spacing w:line="300" w:lineRule="exact"/>
              <w:ind w:firstLine="420"/>
              <w:jc w:val="left"/>
              <w:rPr>
                <w:rFonts w:hint="eastAsia" w:ascii="方正仿宋_GBK" w:hAnsi="方正仿宋_GBK" w:cs="方正仿宋_GBK"/>
                <w:kern w:val="0"/>
                <w:sz w:val="21"/>
                <w:szCs w:val="21"/>
                <w:lang w:bidi="ar"/>
              </w:rPr>
            </w:pPr>
          </w:p>
        </w:tc>
        <w:tc>
          <w:tcPr>
            <w:tcW w:w="976" w:type="pct"/>
            <w:vMerge w:val="continue"/>
            <w:tcMar>
              <w:top w:w="80" w:type="dxa"/>
              <w:left w:w="80" w:type="dxa"/>
              <w:bottom w:w="80" w:type="dxa"/>
              <w:right w:w="80" w:type="dxa"/>
            </w:tcMar>
            <w:vAlign w:val="center"/>
          </w:tcPr>
          <w:p w14:paraId="40647065">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6294CC83">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离线文件加密传输</w:t>
            </w:r>
          </w:p>
        </w:tc>
        <w:tc>
          <w:tcPr>
            <w:tcW w:w="1901" w:type="pct"/>
            <w:tcMar>
              <w:top w:w="80" w:type="dxa"/>
              <w:left w:w="80" w:type="dxa"/>
              <w:bottom w:w="80" w:type="dxa"/>
              <w:right w:w="80" w:type="dxa"/>
            </w:tcMar>
            <w:vAlign w:val="center"/>
          </w:tcPr>
          <w:p w14:paraId="79B7F45E">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批量</w:t>
            </w:r>
            <w:r>
              <w:rPr>
                <w:rFonts w:cs="Times New Roman"/>
                <w:kern w:val="0"/>
                <w:sz w:val="21"/>
                <w:szCs w:val="21"/>
                <w:lang w:bidi="ar"/>
              </w:rPr>
              <w:t>Token</w:t>
            </w:r>
            <w:r>
              <w:rPr>
                <w:rFonts w:hint="eastAsia" w:ascii="方正仿宋_GBK" w:hAnsi="方正仿宋_GBK" w:cs="方正仿宋_GBK"/>
                <w:kern w:val="0"/>
                <w:sz w:val="21"/>
                <w:szCs w:val="21"/>
                <w:lang w:bidi="ar"/>
              </w:rPr>
              <w:t>文件本地加密存储，禁止大批量涉密工艺</w:t>
            </w:r>
            <w:r>
              <w:rPr>
                <w:rFonts w:cs="Times New Roman"/>
                <w:kern w:val="0"/>
                <w:sz w:val="21"/>
                <w:szCs w:val="21"/>
                <w:lang w:bidi="ar"/>
              </w:rPr>
              <w:t>Token</w:t>
            </w:r>
            <w:r>
              <w:rPr>
                <w:rFonts w:hint="eastAsia" w:ascii="方正仿宋_GBK" w:hAnsi="方正仿宋_GBK" w:cs="方正仿宋_GBK"/>
                <w:kern w:val="0"/>
                <w:sz w:val="21"/>
                <w:szCs w:val="21"/>
                <w:lang w:bidi="ar"/>
              </w:rPr>
              <w:t>上传公有云</w:t>
            </w:r>
          </w:p>
        </w:tc>
      </w:tr>
      <w:tr w14:paraId="2F4A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45" w:type="pct"/>
            <w:vMerge w:val="continue"/>
            <w:tcMar>
              <w:top w:w="80" w:type="dxa"/>
              <w:left w:w="80" w:type="dxa"/>
              <w:bottom w:w="80" w:type="dxa"/>
              <w:right w:w="80" w:type="dxa"/>
            </w:tcMar>
            <w:vAlign w:val="center"/>
          </w:tcPr>
          <w:p w14:paraId="6B8D1C61">
            <w:pPr>
              <w:spacing w:line="300" w:lineRule="exact"/>
              <w:ind w:firstLine="420"/>
              <w:jc w:val="left"/>
              <w:rPr>
                <w:rFonts w:hint="eastAsia" w:ascii="方正仿宋_GBK" w:hAnsi="方正仿宋_GBK" w:cs="方正仿宋_GBK"/>
                <w:kern w:val="0"/>
                <w:sz w:val="21"/>
                <w:szCs w:val="21"/>
                <w:lang w:bidi="ar"/>
              </w:rPr>
            </w:pPr>
          </w:p>
        </w:tc>
        <w:tc>
          <w:tcPr>
            <w:tcW w:w="764" w:type="pct"/>
            <w:vMerge w:val="continue"/>
            <w:tcMar>
              <w:top w:w="80" w:type="dxa"/>
              <w:left w:w="80" w:type="dxa"/>
              <w:bottom w:w="80" w:type="dxa"/>
              <w:right w:w="80" w:type="dxa"/>
            </w:tcMar>
            <w:vAlign w:val="center"/>
          </w:tcPr>
          <w:p w14:paraId="77582284">
            <w:pPr>
              <w:spacing w:line="300" w:lineRule="exact"/>
              <w:ind w:firstLine="420"/>
              <w:jc w:val="left"/>
              <w:rPr>
                <w:rFonts w:hint="eastAsia" w:ascii="方正仿宋_GBK" w:hAnsi="方正仿宋_GBK" w:cs="方正仿宋_GBK"/>
                <w:kern w:val="0"/>
                <w:sz w:val="21"/>
                <w:szCs w:val="21"/>
                <w:lang w:bidi="ar"/>
              </w:rPr>
            </w:pPr>
          </w:p>
        </w:tc>
        <w:tc>
          <w:tcPr>
            <w:tcW w:w="976" w:type="pct"/>
            <w:vMerge w:val="continue"/>
            <w:tcMar>
              <w:top w:w="80" w:type="dxa"/>
              <w:left w:w="80" w:type="dxa"/>
              <w:bottom w:w="80" w:type="dxa"/>
              <w:right w:w="80" w:type="dxa"/>
            </w:tcMar>
            <w:vAlign w:val="center"/>
          </w:tcPr>
          <w:p w14:paraId="052A8C43">
            <w:pPr>
              <w:spacing w:line="300" w:lineRule="exact"/>
              <w:ind w:firstLine="420"/>
              <w:jc w:val="left"/>
              <w:rPr>
                <w:rFonts w:hint="eastAsia" w:ascii="方正仿宋_GBK" w:hAnsi="方正仿宋_GBK" w:cs="方正仿宋_GBK"/>
                <w:kern w:val="0"/>
                <w:sz w:val="21"/>
                <w:szCs w:val="21"/>
                <w:lang w:bidi="ar"/>
              </w:rPr>
            </w:pPr>
          </w:p>
        </w:tc>
        <w:tc>
          <w:tcPr>
            <w:tcW w:w="911" w:type="pct"/>
            <w:tcMar>
              <w:top w:w="80" w:type="dxa"/>
              <w:left w:w="80" w:type="dxa"/>
              <w:bottom w:w="80" w:type="dxa"/>
              <w:right w:w="80" w:type="dxa"/>
            </w:tcMar>
            <w:vAlign w:val="center"/>
          </w:tcPr>
          <w:p w14:paraId="1F79058B">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微调数据集过滤</w:t>
            </w:r>
          </w:p>
        </w:tc>
        <w:tc>
          <w:tcPr>
            <w:tcW w:w="1901" w:type="pct"/>
            <w:tcMar>
              <w:top w:w="80" w:type="dxa"/>
              <w:left w:w="80" w:type="dxa"/>
              <w:bottom w:w="80" w:type="dxa"/>
              <w:right w:w="80" w:type="dxa"/>
            </w:tcMar>
            <w:vAlign w:val="center"/>
          </w:tcPr>
          <w:p w14:paraId="319D6E7D">
            <w:pPr>
              <w:spacing w:line="300" w:lineRule="exact"/>
              <w:ind w:firstLine="0" w:firstLineChars="0"/>
              <w:jc w:val="left"/>
              <w:rPr>
                <w:rFonts w:hint="eastAsia" w:ascii="方正仿宋_GBK" w:hAnsi="方正仿宋_GBK" w:cs="方正仿宋_GBK"/>
                <w:kern w:val="0"/>
                <w:sz w:val="21"/>
                <w:szCs w:val="21"/>
                <w:lang w:bidi="ar"/>
              </w:rPr>
            </w:pPr>
            <w:r>
              <w:rPr>
                <w:rFonts w:hint="eastAsia" w:ascii="方正仿宋_GBK" w:hAnsi="方正仿宋_GBK" w:cs="方正仿宋_GBK"/>
                <w:kern w:val="0"/>
                <w:sz w:val="21"/>
                <w:szCs w:val="21"/>
                <w:lang w:bidi="ar"/>
              </w:rPr>
              <w:t>离线训练批量</w:t>
            </w:r>
            <w:r>
              <w:rPr>
                <w:rFonts w:cs="Times New Roman"/>
                <w:kern w:val="0"/>
                <w:sz w:val="21"/>
                <w:szCs w:val="21"/>
                <w:lang w:bidi="ar"/>
              </w:rPr>
              <w:t>Token</w:t>
            </w:r>
            <w:r>
              <w:rPr>
                <w:rFonts w:hint="eastAsia" w:ascii="方正仿宋_GBK" w:hAnsi="方正仿宋_GBK" w:cs="方正仿宋_GBK"/>
                <w:kern w:val="0"/>
                <w:sz w:val="21"/>
                <w:szCs w:val="21"/>
                <w:lang w:bidi="ar"/>
              </w:rPr>
              <w:t>剔除</w:t>
            </w:r>
            <w:r>
              <w:rPr>
                <w:rFonts w:cs="Times New Roman"/>
                <w:kern w:val="0"/>
                <w:sz w:val="21"/>
                <w:szCs w:val="21"/>
                <w:lang w:bidi="ar"/>
              </w:rPr>
              <w:t>SAP</w:t>
            </w:r>
            <w:r>
              <w:rPr>
                <w:rFonts w:hint="eastAsia" w:ascii="方正仿宋_GBK" w:hAnsi="方正仿宋_GBK" w:cs="方正仿宋_GBK"/>
                <w:kern w:val="0"/>
                <w:sz w:val="21"/>
                <w:szCs w:val="21"/>
                <w:lang w:bidi="ar"/>
              </w:rPr>
              <w:t>成本、</w:t>
            </w:r>
            <w:r>
              <w:rPr>
                <w:rFonts w:cs="Times New Roman"/>
                <w:kern w:val="0"/>
                <w:sz w:val="21"/>
                <w:szCs w:val="21"/>
                <w:lang w:bidi="ar"/>
              </w:rPr>
              <w:t>MES</w:t>
            </w:r>
            <w:r>
              <w:rPr>
                <w:rFonts w:hint="eastAsia" w:ascii="方正仿宋_GBK" w:hAnsi="方正仿宋_GBK" w:cs="方正仿宋_GBK"/>
                <w:kern w:val="0"/>
                <w:sz w:val="21"/>
                <w:szCs w:val="21"/>
                <w:lang w:bidi="ar"/>
              </w:rPr>
              <w:t>核心工艺敏感片段</w:t>
            </w:r>
          </w:p>
        </w:tc>
      </w:tr>
    </w:tbl>
    <w:p w14:paraId="06B5A685">
      <w:pPr>
        <w:pStyle w:val="4"/>
        <w:numPr>
          <w:ilvl w:val="0"/>
          <w:numId w:val="2"/>
        </w:numPr>
        <w:ind w:left="0" w:firstLine="643"/>
      </w:pPr>
      <w:bookmarkStart w:id="60" w:name="_Toc1842"/>
      <w:bookmarkStart w:id="61" w:name="_Toc25315"/>
      <w:r>
        <w:rPr>
          <w:rFonts w:hint="eastAsia"/>
        </w:rPr>
        <w:t>实时监控与审计</w:t>
      </w:r>
      <w:bookmarkEnd w:id="60"/>
      <w:bookmarkEnd w:id="61"/>
    </w:p>
    <w:p w14:paraId="587CDE7D">
      <w:pPr>
        <w:ind w:firstLine="640"/>
      </w:pPr>
      <w:r>
        <w:rPr>
          <w:rFonts w:hint="eastAsia"/>
        </w:rPr>
        <w:t>异常监控与管控的目标是管控成本失控、数据泄露、业务中断与权责不清四类风险。构建异常监控与审计体系需遵循四大原则：一是全链路日志不可篡改；二是高风险操作强制人工复核；三是运行时动态监测与异常自动熔断；四是安全审计常态化迭代适配AI技术升级。</w:t>
      </w:r>
    </w:p>
    <w:p w14:paraId="793CE10C">
      <w:pPr>
        <w:ind w:firstLine="643"/>
      </w:pPr>
      <w:r>
        <w:rPr>
          <w:rFonts w:hint="eastAsia"/>
          <w:b/>
          <w:bCs/>
        </w:rPr>
        <w:t>具体来看，公有云API模式下</w:t>
      </w:r>
      <w:r>
        <w:rPr>
          <w:rFonts w:hint="eastAsia"/>
        </w:rPr>
        <w:t>，管控核心为接口全链路观测与数据边界防护。监控方面，建议采用“业务审计+底层观测”的双层机制，一是依托虚拟凭证完成每一次请求级审计，完整留存调用链路与消耗数据；二是对接云厂商可观测性工具，持续追踪首包响应时延、接口限流报错等底层指标，评估云端服务稳定能力。审计方面，需将请求与响应元数据持久化存储至云端日志服务，在API访问边界部署大模型安全防火墙，拦截提示词注入与企业敏感数据违规外传等风险行为。</w:t>
      </w:r>
    </w:p>
    <w:p w14:paraId="114784D5">
      <w:pPr>
        <w:ind w:firstLine="643"/>
      </w:pPr>
      <w:r>
        <w:rPr>
          <w:rFonts w:hint="eastAsia"/>
          <w:b/>
          <w:bCs/>
        </w:rPr>
        <w:t>本地部署模式下</w:t>
      </w:r>
      <w:r>
        <w:rPr>
          <w:rFonts w:hint="eastAsia"/>
        </w:rPr>
        <w:t>，管控核心为全栈硬件监控与内网自主深度审计。监控方面，除API接口响应指标外，还需实时采集GPU利用率、显存占用、推理延迟及硬件温度等底层硬件指标，防范算力瓶颈或硬件过热宕机等故障。审计方面，所有运行日志均本地加密存储，企业需对敏感字段进行脱敏处理。内网部署基于属性的精细化访问控制体系，集成全流量行为检测，识别非工作时段异常批量调用等高风险操作。</w:t>
      </w:r>
    </w:p>
    <w:p w14:paraId="5A45D6C6">
      <w:pPr>
        <w:ind w:firstLine="640"/>
      </w:pPr>
      <w:r>
        <w:rPr>
          <w:rFonts w:hint="eastAsia"/>
        </w:rPr>
        <w:t>同时，两种部署模式均需建立审计结果责任认定机制与应用闭环。定期汇总审计发现的API异常调用、敏感数据触发或泄露、Token超支或算力浪费等问题，形成专项治理报告，异常事件描述、责任归属判定、整改措施与完成时限。对于重复出现的同类责任事件，升级问责层级，并将责任认定结果纳入相关部门与人员的绩效考核指标，形成“监控发现—责任锁定—整改闭环—绩效挂钩”的完整治理链条。</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4"/>
      </w:tblGrid>
      <w:tr w14:paraId="6B05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tcPr>
          <w:p w14:paraId="7532DC74">
            <w:pPr>
              <w:widowControl w:val="0"/>
              <w:spacing w:line="460" w:lineRule="exact"/>
              <w:ind w:firstLine="0" w:firstLineChars="0"/>
              <w:jc w:val="center"/>
              <w:rPr>
                <w:rFonts w:hint="default" w:ascii="Times New Roman" w:hAnsi="Times New Roman" w:eastAsia="方正黑体_GBK" w:cs="Times New Roman"/>
                <w:sz w:val="28"/>
                <w:szCs w:val="22"/>
              </w:rPr>
            </w:pPr>
            <w:r>
              <w:rPr>
                <w:rFonts w:hint="default" w:ascii="Times New Roman" w:hAnsi="Times New Roman" w:eastAsia="方正黑体_GBK" w:cs="Times New Roman"/>
                <w:sz w:val="28"/>
                <w:szCs w:val="22"/>
              </w:rPr>
              <w:t>示例：Token超支与数据泄露的责任认定与后续管控手段</w:t>
            </w:r>
          </w:p>
          <w:p w14:paraId="1423328B">
            <w:pPr>
              <w:widowControl w:val="0"/>
              <w:spacing w:line="460" w:lineRule="exact"/>
              <w:ind w:firstLine="562"/>
              <w:rPr>
                <w:sz w:val="28"/>
                <w:szCs w:val="22"/>
                <w:lang w:bidi="ar"/>
              </w:rPr>
            </w:pPr>
            <w:r>
              <w:rPr>
                <w:b/>
                <w:bCs/>
                <w:sz w:val="28"/>
                <w:szCs w:val="22"/>
                <w:lang w:bidi="ar"/>
              </w:rPr>
              <w:t>Token超支责任认定与后续管控手段</w:t>
            </w:r>
            <w:r>
              <w:rPr>
                <w:rFonts w:hint="eastAsia"/>
                <w:sz w:val="28"/>
                <w:szCs w:val="22"/>
                <w:lang w:bidi="ar"/>
              </w:rPr>
              <w:t>：</w:t>
            </w:r>
            <w:r>
              <w:rPr>
                <w:sz w:val="28"/>
                <w:szCs w:val="22"/>
                <w:lang w:bidi="ar"/>
              </w:rPr>
              <w:t>Token消耗是模型调用中最直接的成本载体，其异常超支往往暴露管控链条中的责任盲区。责任认定需沿</w:t>
            </w:r>
            <w:r>
              <w:rPr>
                <w:rFonts w:hint="eastAsia"/>
                <w:sz w:val="28"/>
                <w:szCs w:val="22"/>
                <w:lang w:bidi="ar"/>
              </w:rPr>
              <w:t>“</w:t>
            </w:r>
            <w:r>
              <w:rPr>
                <w:sz w:val="28"/>
                <w:szCs w:val="22"/>
                <w:lang w:bidi="ar"/>
              </w:rPr>
              <w:t>预算归属—调用溯源—阈值触发</w:t>
            </w:r>
            <w:r>
              <w:rPr>
                <w:rFonts w:hint="eastAsia"/>
                <w:sz w:val="28"/>
                <w:szCs w:val="22"/>
                <w:lang w:bidi="ar"/>
              </w:rPr>
              <w:t>”</w:t>
            </w:r>
            <w:r>
              <w:rPr>
                <w:sz w:val="28"/>
                <w:szCs w:val="22"/>
                <w:lang w:bidi="ar"/>
              </w:rPr>
              <w:t>三层展开</w:t>
            </w:r>
            <w:r>
              <w:rPr>
                <w:rFonts w:hint="eastAsia"/>
                <w:sz w:val="28"/>
                <w:szCs w:val="22"/>
                <w:lang w:bidi="ar"/>
              </w:rPr>
              <w:t>。</w:t>
            </w:r>
            <w:r>
              <w:rPr>
                <w:sz w:val="28"/>
                <w:szCs w:val="22"/>
                <w:lang w:bidi="ar"/>
              </w:rPr>
              <w:t>预算归属层将超支责任锚定至预算单元第一责任人，公有云模式下对应API密钥绑定方，本地部署模式下对应GPU算力池配额负责人。调用溯源层基于请求级审计日志反向追溯，区分正常业务增长与异常批量调用、提示词膨胀等无效消耗，前者归责于业务规划层面，后者归责于调用方操作不当或应用层缺乏输入长度约束。阈值触发层在预警与熔断机制触发后，依据响应时效判定责任：未及时响应归责于运维监控岗，未配置阈值策略归责于系统管理员，合理超支未提前报备归责于业务负责人。</w:t>
            </w:r>
          </w:p>
          <w:p w14:paraId="4F8BC1CE">
            <w:pPr>
              <w:widowControl w:val="0"/>
              <w:spacing w:line="460" w:lineRule="exact"/>
              <w:ind w:firstLine="560"/>
              <w:rPr>
                <w:sz w:val="28"/>
                <w:szCs w:val="22"/>
                <w:lang w:bidi="ar"/>
              </w:rPr>
            </w:pPr>
            <w:r>
              <w:rPr>
                <w:sz w:val="28"/>
                <w:szCs w:val="22"/>
                <w:lang w:bidi="ar"/>
              </w:rPr>
              <w:t>在管控层面，事中层面，实时监测与分级熔断机制持续运行，语义路由能力根据任务复杂度自动匹配最优模型，通用场景降级至低成本模型；事后层面，多维分账机制将Token用量按部门、项目、应用、密钥、用户五维度拆分并换算为实际费用，对浪费型消耗追溯至具体调用者并纳入绩效考核，语义缓存与提示词智能裁剪持续降低整体支出。</w:t>
            </w:r>
          </w:p>
          <w:p w14:paraId="64E707BA">
            <w:pPr>
              <w:widowControl w:val="0"/>
              <w:spacing w:line="460" w:lineRule="exact"/>
              <w:ind w:firstLine="562"/>
              <w:rPr>
                <w:sz w:val="28"/>
                <w:szCs w:val="22"/>
                <w:lang w:bidi="ar"/>
              </w:rPr>
            </w:pPr>
            <w:r>
              <w:rPr>
                <w:b/>
                <w:bCs/>
                <w:sz w:val="28"/>
                <w:szCs w:val="22"/>
                <w:lang w:bidi="ar"/>
              </w:rPr>
              <w:t>数据泄露责任认定与后续管控手段</w:t>
            </w:r>
            <w:r>
              <w:rPr>
                <w:rFonts w:hint="eastAsia"/>
                <w:b/>
                <w:bCs/>
                <w:sz w:val="28"/>
                <w:szCs w:val="22"/>
                <w:lang w:bidi="ar"/>
              </w:rPr>
              <w:t>：</w:t>
            </w:r>
            <w:r>
              <w:rPr>
                <w:rFonts w:hint="eastAsia"/>
                <w:sz w:val="28"/>
                <w:szCs w:val="22"/>
                <w:lang w:bidi="ar"/>
              </w:rPr>
              <w:t>覆盖“数据分级—访问授权—泄露溯源”三个环节。数据分级与标注责任归于数据产生部门，因未标注或标注错误导致高敏感数据以低防护等级流入模型的，由该部门及其负责人承担。访问授权与越权责任分两路认定：前述基于角色的访问控制策略若配置过宽，归责于安全管理员；调用者利用合法权限违规操作的，归责于调用者本人及其直属主管。泄露溯源依托全链路审计日志与数据防泄漏系统进行归因：输入侧泄露（敏感数据随提示词外传至云端）归责于API网关安全策略配置方，输出侧泄露（模型响应携带训练数据中的敏感信息）归责于模型提供方或微调数据清洗环节负责人，日志存储环节泄露归责于日志管理岗。</w:t>
            </w:r>
          </w:p>
          <w:p w14:paraId="414B2165">
            <w:pPr>
              <w:widowControl w:val="0"/>
              <w:spacing w:line="460" w:lineRule="exact"/>
              <w:ind w:firstLine="560"/>
              <w:rPr>
                <w:sz w:val="28"/>
                <w:szCs w:val="22"/>
                <w:lang w:bidi="ar"/>
              </w:rPr>
            </w:pPr>
            <w:r>
              <w:rPr>
                <w:rFonts w:hint="eastAsia"/>
                <w:sz w:val="28"/>
                <w:szCs w:val="22"/>
                <w:lang w:bidi="ar"/>
              </w:rPr>
              <w:t>在管控层面，事中层面，持续运行API边界大模型安全防火墙与全流量行为检测；事后层面，数据泄露应急预案明确止损措施、影响评估流程与监管报告时限，依托审计日志归因形成事件报告并制定整改时限，年度数据合规评估根据政策变化与业务迭代持续调整合规策略。</w:t>
            </w:r>
          </w:p>
        </w:tc>
      </w:tr>
    </w:tbl>
    <w:p w14:paraId="5C4071B6">
      <w:pPr>
        <w:pStyle w:val="4"/>
        <w:numPr>
          <w:ilvl w:val="0"/>
          <w:numId w:val="2"/>
        </w:numPr>
        <w:ind w:left="0" w:firstLine="643"/>
      </w:pPr>
      <w:bookmarkStart w:id="62" w:name="_Toc14737"/>
      <w:bookmarkStart w:id="63" w:name="_Toc8138"/>
      <w:r>
        <w:rPr>
          <w:rFonts w:hint="eastAsia"/>
        </w:rPr>
        <w:t>人工介入与兜底</w:t>
      </w:r>
      <w:bookmarkEnd w:id="62"/>
      <w:bookmarkEnd w:id="63"/>
    </w:p>
    <w:p w14:paraId="6DA4CABA">
      <w:pPr>
        <w:ind w:firstLine="640"/>
      </w:pPr>
      <w:r>
        <w:rPr>
          <w:rFonts w:hint="eastAsia"/>
        </w:rPr>
        <w:t>人工介入与兜底主要负责业务输出高风险环节人工校验，以及Token额度耗尽、算力资源枯竭、模型服务中断等资源故障应急处置，构建“自动化流程为主、人工分级兜底”协同管控模式，兼顾生产结果合规安全与AI服务连续性，为企业Token全生命周期管理提供人机协同应急底座。</w:t>
      </w:r>
    </w:p>
    <w:p w14:paraId="5B9D7FD6">
      <w:pPr>
        <w:ind w:firstLine="643"/>
      </w:pPr>
      <w:r>
        <w:rPr>
          <w:rFonts w:hint="eastAsia"/>
          <w:b/>
          <w:bCs/>
        </w:rPr>
        <w:t>人工介入与兜底应坚持三大原则</w:t>
      </w:r>
      <w:r>
        <w:rPr>
          <w:rFonts w:hint="eastAsia"/>
        </w:rPr>
        <w:t>：一是分级分类触发，按场景风险等级、算力负载阈值划分兜底启动条件，核心生产高风险内容强制人工复核，通用场景仅异常触发；Token配额耗尽、服务宕机等资源故障按业务优先级分级启动人工应急流程，杜绝无差别全量人工干预，保障运行效率。二是关键节点兜底，围绕输入合规、输出决策、算力供给、服务可用性全链路设置关卡，自动化机制承担常规处理，人工仅针对高风险、资源枯竭、服务中断等极端场景兜底，不损耗常态业务运行节拍。三是权责时效匹配，按业务归属、生产节拍匹配对应审核/应急处置权限与响应时限，生产类指令、高优先级推理任务优先处置，做到责任清晰、故障快速止损。</w:t>
      </w:r>
    </w:p>
    <w:p w14:paraId="27A0D370">
      <w:pPr>
        <w:ind w:firstLine="643"/>
      </w:pPr>
      <w:r>
        <w:rPr>
          <w:rFonts w:hint="eastAsia"/>
          <w:b/>
          <w:bCs/>
        </w:rPr>
        <w:t>具体来看，在公有云</w:t>
      </w:r>
      <w:r>
        <w:rPr>
          <w:rFonts w:cs="Times New Roman"/>
          <w:b/>
          <w:bCs/>
        </w:rPr>
        <w:t>API</w:t>
      </w:r>
      <w:r>
        <w:rPr>
          <w:rFonts w:hint="eastAsia"/>
          <w:b/>
          <w:bCs/>
        </w:rPr>
        <w:t>模式下</w:t>
      </w:r>
      <w:r>
        <w:rPr>
          <w:rFonts w:hint="eastAsia"/>
        </w:rPr>
        <w:t>，人工介入与兜底分为两大方面，一方面是高风险内容人工审核流程。所有公有云推理请求与返回结果统一经由AI调度网关完成合规、敏感数据、生产指令风险初筛，识别高风险生产参数、涉密工艺、关键质量决策内容时，自动拦截调用链路并推送人工审核工单；常规低Token消耗、低风险问答直接放行，无需人工介入。审核人员完成核验并给出通过/驳回/修改重审结论后，系统再执行结果下发；所有审核主体、时间、意见、Token消耗记录统一写入审计日志。另一方面是Token耗尽、云端服务中断人工应急兜底。网关实时累计企业公有云Token总消耗量，当额度逼近阈值、API调用触发限流封禁，或云端模型服务宕机超时，系统自动触发分级人工兜底：低优先级报表、文档梳理任务自动暂停并推送运维人员扩容Token额度、切换备用厂商API；在线质检、实时故障诊断等高优先级生产任务，人工介入启动预案，临时切换至企业本地备用算力池承接推理请求，同步临时收紧全局Prompt长度、限制单会话Token上限延缓资源消耗；若多厂商云端同步故障，则直接切换人工离线研判模式，保障生产业务不中断。故障处置完成后人工复盘Token超限根源，调整公有云月度配额与流量限流阈值。</w:t>
      </w:r>
    </w:p>
    <w:p w14:paraId="7BA299F1">
      <w:pPr>
        <w:ind w:firstLine="643"/>
      </w:pPr>
      <w:r>
        <w:rPr>
          <w:rFonts w:hint="eastAsia"/>
          <w:b/>
          <w:bCs/>
        </w:rPr>
        <w:t>在本地化部署模式下</w:t>
      </w:r>
      <w:r>
        <w:rPr>
          <w:rFonts w:hint="eastAsia"/>
        </w:rPr>
        <w:t>，企业需建立统一的本地生产场景人工审核管控体系，将对接</w:t>
      </w:r>
      <w:r>
        <w:rPr>
          <w:rFonts w:cs="Times New Roman"/>
        </w:rPr>
        <w:t>MES</w:t>
      </w:r>
      <w:r>
        <w:rPr>
          <w:rFonts w:hint="eastAsia"/>
        </w:rPr>
        <w:t>、</w:t>
      </w:r>
      <w:r>
        <w:rPr>
          <w:rFonts w:cs="Times New Roman"/>
        </w:rPr>
        <w:t>PLC</w:t>
      </w:r>
      <w:r>
        <w:rPr>
          <w:rFonts w:hint="eastAsia"/>
        </w:rPr>
        <w:t>等生产控制系统的指令类输出、工艺参数调整类结果全部纳入强制复核范围，按生产管理权责匹配对应审核岗位与处置时效。依托本地部署的内容审核模块与防篡改审计系统，在生产控制网内完成高风险内容的自动拦截、人工复核与指令下发全闭环，未经审核确认的生产指令全程不得触达生产设备；审核驳回的错误结果同步沉淀为本地模型优化样本，反哺模型微调与自动审核规则迭代。另外，当本地算力池基线Token缓存溢出、算力满载、边缘节点模型服务崩溃时自动告警并流转运维工单：人工优先执行算力资源重分配，清理闲置会话冗余Token缓存、关停低优先级批量仿真任务释放算力。</w:t>
      </w:r>
    </w:p>
    <w:p w14:paraId="084BBD7D">
      <w:pPr>
        <w:pStyle w:val="3"/>
        <w:numPr>
          <w:ilvl w:val="0"/>
          <w:numId w:val="1"/>
        </w:numPr>
      </w:pPr>
      <w:bookmarkStart w:id="64" w:name="_Toc23803"/>
      <w:bookmarkStart w:id="65" w:name="_Toc15323"/>
      <w:r>
        <w:rPr>
          <w:rFonts w:hint="eastAsia"/>
        </w:rPr>
        <w:t>事后复盘优化</w:t>
      </w:r>
      <w:bookmarkEnd w:id="64"/>
      <w:bookmarkEnd w:id="65"/>
    </w:p>
    <w:p w14:paraId="73F454A9">
      <w:pPr>
        <w:pStyle w:val="4"/>
        <w:ind w:firstLine="643" w:firstLineChars="0"/>
        <w:rPr>
          <w:szCs w:val="32"/>
        </w:rPr>
      </w:pPr>
      <w:bookmarkStart w:id="66" w:name="_Toc24910"/>
      <w:bookmarkStart w:id="67" w:name="_Toc28429"/>
      <w:r>
        <w:rPr>
          <w:rFonts w:hint="eastAsia"/>
          <w:szCs w:val="32"/>
        </w:rPr>
        <w:t>1.精细化账单归因</w:t>
      </w:r>
      <w:bookmarkEnd w:id="66"/>
      <w:bookmarkEnd w:id="67"/>
    </w:p>
    <w:p w14:paraId="52AD2AC4">
      <w:pPr>
        <w:ind w:firstLine="640"/>
      </w:pPr>
      <w:r>
        <w:rPr>
          <w:rFonts w:hint="eastAsia"/>
        </w:rPr>
        <w:t>精细化账单归因的核心目标是拆解Token消耗成本，形成分层明细台账，为资源优化、效益核算提供数据底座。</w:t>
      </w:r>
    </w:p>
    <w:p w14:paraId="281C857C">
      <w:pPr>
        <w:ind w:firstLine="643"/>
      </w:pPr>
      <w:r>
        <w:rPr>
          <w:rFonts w:hint="eastAsia"/>
          <w:b/>
          <w:bCs/>
        </w:rPr>
        <w:t>精细化账单归因应坚持四大原则</w:t>
      </w:r>
      <w:r>
        <w:rPr>
          <w:rFonts w:hint="eastAsia"/>
        </w:rPr>
        <w:t>：一是业务归属导向，成本按业务场景、业务部门单独归集，不得统一列支为通用IT运维费用；二是逐层穿透溯源，搭建“总消耗—业务部门—应用场景—使用人员—单次模型请求”五级溯源链路，支持任意层级下钻查询；三是多维度交叉拆解，围绕部门、业务场景、模型规格、使用时段、用户身份等多维度拆分Token消耗与算力消耗数据；四是业务成效关联，建立算力消耗与业务产出指标映射关系，实现资源投入与业务成果双向追溯。</w:t>
      </w:r>
    </w:p>
    <w:p w14:paraId="7C17A43B">
      <w:pPr>
        <w:numPr>
          <w:ilvl w:val="255"/>
          <w:numId w:val="0"/>
        </w:numPr>
        <w:ind w:firstLine="640" w:firstLineChars="200"/>
      </w:pPr>
      <w:r>
        <w:rPr>
          <w:rFonts w:hint="eastAsia"/>
          <w:b/>
          <w:bCs/>
        </w:rPr>
        <w:t>具体来看，在公有云API模式下</w:t>
      </w:r>
      <w:r>
        <w:rPr>
          <w:rFonts w:hint="eastAsia"/>
        </w:rPr>
        <w:t>，精细化账单归因的重点在于精细化统计Token消耗数量，从而根据使用情况进行归因分析。常见做法为以请求级全链路审计日志为基础，采用“虚拟凭证+虚拟模型标识”管控方案，各业务应用统一调用虚拟API密钥和虚拟模型名称，真实API密钥统一收纳至密钥安全仓库集中托管。AI调度网关在每次接口调用时，自动完成虚拟标识与真实密钥映射并留存全链路日志。依托该机制，不仅可按项目、场景精准归集Token调用成本，每一笔云端算力支出均可溯源、可对账；还可实现API密钥集中安全管控，规避密钥泄露风险。</w:t>
      </w:r>
    </w:p>
    <w:p w14:paraId="7A3F1C74">
      <w:pPr>
        <w:numPr>
          <w:ilvl w:val="255"/>
          <w:numId w:val="0"/>
        </w:numPr>
        <w:ind w:firstLine="640" w:firstLineChars="200"/>
      </w:pPr>
      <w:r>
        <w:rPr>
          <w:rFonts w:hint="eastAsia"/>
        </w:rPr>
        <w:t>在</w:t>
      </w:r>
      <w:r>
        <w:rPr>
          <w:rFonts w:hint="eastAsia"/>
          <w:b/>
          <w:bCs/>
        </w:rPr>
        <w:t>本地化部署模式下</w:t>
      </w:r>
      <w:r>
        <w:rPr>
          <w:rFonts w:hint="eastAsia"/>
        </w:rPr>
        <w:t>，精细化账单归因的核心为固定算力成本内部市场化分摊，企业需建立统一的内部算力计价模型，将硬件折旧、机房能耗、算法运维等固定成本转化为标准化“内部结算单价”。依托容器调度平台实时采集各业务项目、应用系统的GPU显存占用率、算力利用率及运行时长等指标，结合内部结算单价核算各场景真实算力成本。通过内部结算机制，清晰量化各业务线算力投入，倒逼业务部门主动优化模型推理效率、释放闲置算力，杜绝本地算力无偿占用、资源浪费问题。</w:t>
      </w:r>
    </w:p>
    <w:p w14:paraId="50DF0997">
      <w:pPr>
        <w:pStyle w:val="4"/>
        <w:ind w:firstLine="643" w:firstLineChars="0"/>
        <w:rPr>
          <w:szCs w:val="32"/>
        </w:rPr>
      </w:pPr>
      <w:bookmarkStart w:id="68" w:name="_Toc21628"/>
      <w:bookmarkStart w:id="69" w:name="_Toc6606"/>
      <w:r>
        <w:rPr>
          <w:rFonts w:hint="eastAsia"/>
          <w:szCs w:val="32"/>
        </w:rPr>
        <w:t>2.综合效能评估</w:t>
      </w:r>
      <w:bookmarkEnd w:id="68"/>
      <w:bookmarkEnd w:id="69"/>
    </w:p>
    <w:p w14:paraId="28C3F943">
      <w:pPr>
        <w:ind w:firstLine="640"/>
      </w:pPr>
      <w:r>
        <w:rPr>
          <w:rFonts w:hint="eastAsia"/>
        </w:rPr>
        <w:t>综合效能评估的核心目标是将技术侧算力投入转化为可量化的经营指标，打通技术账本与业务经营账本，校验Token、算力资源投入是否真正实现生产提质、流程降本、运营增效。</w:t>
      </w:r>
    </w:p>
    <w:p w14:paraId="7858D261">
      <w:pPr>
        <w:numPr>
          <w:ilvl w:val="255"/>
          <w:numId w:val="0"/>
        </w:numPr>
        <w:ind w:firstLine="640" w:firstLineChars="200"/>
        <w:rPr>
          <w:b/>
          <w:bCs/>
        </w:rPr>
      </w:pPr>
      <w:r>
        <w:rPr>
          <w:rFonts w:hint="eastAsia"/>
          <w:b/>
          <w:bCs/>
        </w:rPr>
        <w:t>综合效能评估应坚持四大原则</w:t>
      </w:r>
      <w:r>
        <w:rPr>
          <w:rFonts w:hint="eastAsia"/>
        </w:rPr>
        <w:t>：一是业务价值导向原则，效能评估的终极标尺是增收、降本、提效、控险等业务结果；二是成本、质量和风险三维均衡原则，低成本可能伴随低质量，高质量可能伴随高风险，三者必须同步评价、动态权衡；三是统一口径、可比可量化原则，跨模型、跨场景、跨时期的比较，必须建立在统一的计量基准上，消除分词器差异、模型架构差异带来的不可比问题；四是动态迭代、持续优化原则，效能不是一次性评估的静态快照，而是随业务演进持续变化的动态指标，评估体系本身需要定期校准和迭代。</w:t>
      </w:r>
    </w:p>
    <w:p w14:paraId="265721FF">
      <w:pPr>
        <w:numPr>
          <w:ilvl w:val="255"/>
          <w:numId w:val="0"/>
        </w:numPr>
        <w:ind w:firstLine="640" w:firstLineChars="200"/>
      </w:pPr>
      <w:r>
        <w:rPr>
          <w:rFonts w:hint="eastAsia"/>
          <w:b/>
          <w:bCs/>
        </w:rPr>
        <w:t>具体来看，在公有云API模式下，综合效能评估</w:t>
      </w:r>
      <w:r>
        <w:rPr>
          <w:rFonts w:hint="eastAsia"/>
        </w:rPr>
        <w:t>建议采取四步操作法。第一步，计算综合成本归集。采用完成一个有效任务所发生的全部成本作为成本端，包括直接成本（API调用费）与间接成本（返工成本、重试浪费成本、安全合规成本、运维人力分摊）等，综合成本归集采用“单位有效任务综合成本=周期内全部成本÷周期内经业务验收的有效任务总数”公式进行计算。第二步，评价任务质量。从准确率（模型输出与业务预期的一致程度，由业务方按预设标准打分）、稳定性（同一任务多次执行，结果的一致性。用方差或标准差衡量波动幅度）、幻觉率（模型输出中包含虚假、编造信息的比例）、合规性（输出内容是否符合行业法规和企业内部规范）和用户满意度（终端用户对任务完成结果的主观评价）来进行质量评价，任务质量得分由各维度加权平均分得出。另外，设定质量底线阈值，低于阈值的任务不计入有效任务，其成本仍需归入总成本。第三步，评价业务成效。先建立基线数据，再从效率增益、效果增益、增量价值等维度进行业务成效评价，通过A/B测试或前后对比，采用“增量=模型介入后-基线”作为公式计算。第四步，评估风险。从数据安全风险、幻觉事故风险、权限越界风险、合规风险、可审计性等维度设置安全红线，享有一票否决权。最后，将四个维度的评价加过汇入统一决策框架，按照“综合效能得分=业务成效系数×任务质量得分÷（单位有效任务综合成本×风险系数）”公式计算。其中，业务成效系数由效率增益和效果增益加权得出。得分高、质量高、风险低可扩大推广，持续优化成本；得分高、质量高、风险中可补充风险缓解措施后推广；得分中、质量中、成本偏高可定向优化（降本或提质），限期复评；得分低或触碰风险红线需暂停或回退，重新评估方案。</w:t>
      </w:r>
    </w:p>
    <w:p w14:paraId="0CA41FE8">
      <w:pPr>
        <w:numPr>
          <w:ilvl w:val="255"/>
          <w:numId w:val="0"/>
        </w:numPr>
        <w:ind w:firstLine="640" w:firstLineChars="200"/>
      </w:pPr>
      <w:r>
        <w:rPr>
          <w:rFonts w:hint="eastAsia"/>
          <w:b/>
          <w:bCs/>
        </w:rPr>
        <w:t>在本地部署模式下</w:t>
      </w:r>
      <w:r>
        <w:rPr>
          <w:rFonts w:hint="eastAsia"/>
        </w:rPr>
        <w:t>，综合</w:t>
      </w:r>
      <w:r>
        <w:rPr>
          <w:rFonts w:hint="eastAsia"/>
          <w:b/>
          <w:bCs/>
        </w:rPr>
        <w:t>效能评估</w:t>
      </w:r>
      <w:r>
        <w:rPr>
          <w:rFonts w:hint="eastAsia"/>
        </w:rPr>
        <w:t>同样采用四步评估法。第一步，全口径TCO</w:t>
      </w:r>
      <w:r>
        <w:rPr>
          <w:rFonts w:hint="eastAsia"/>
          <w:vertAlign w:val="superscript"/>
        </w:rPr>
        <w:t>21</w:t>
      </w:r>
      <w:r>
        <w:rPr>
          <w:rFonts w:hint="eastAsia"/>
        </w:rPr>
        <w:t>归集成本。成本端将硬件采购成本、电力与制冷成本、网络带宽成本、运维人力成本、软件许可成本、返工成本、安全合规成本等进行折旧或分摊，按照“单位有效任务综合成本=周期内TCO总额÷周期内经业务验收的有效任务总数”公式进行成本归集。其中，硬件折旧按3年直线折旧和按5年直线折旧，年度成本差异较大，须在评估章程中明确约定折旧年限和方式。第二步，技术效能评估。从GPU利用率、显存占用率等硬件资源效率；单请求延迟、吞吐量、批处理效率等推理性能；72小时连续运行测试、异常容错等稳定性与可靠性等维度进行技术效能评估。第三步，任务质量与业务成效评估。任务质量选取准确率、稳定性、幻觉率、合规性、用户满意度等维度，由业务方按统一评分表打分。低于质量底线阈值的任务不计入“有效任务”，但其消耗的资源成本仍需归入总成本。业务成效同样采用A/B测试或前后对比，计算增量效果和财务价值。其中，财务价值可选取节省工时×人力费率、转化率提升×客单价×流量等维度。第四步，风险与合规评估。从单点故障风险、版本升级风险等衡量特有风险情况。最后，同样按照“综合效能得分=业务成效系数×任务质量得分÷（单位有效任务综合成本×风险系数）”进行评估。</w:t>
      </w:r>
    </w:p>
    <w:bookmarkEnd w:id="37"/>
    <w:p w14:paraId="616898E0">
      <w:pPr>
        <w:pStyle w:val="2"/>
        <w:ind w:firstLine="640"/>
      </w:pPr>
      <w:bookmarkStart w:id="70" w:name="_Toc10125"/>
      <w:bookmarkStart w:id="71" w:name="_Toc30983"/>
      <w:bookmarkStart w:id="72" w:name="_Toc11350"/>
      <w:r>
        <w:rPr>
          <w:rFonts w:hint="eastAsia"/>
        </w:rPr>
        <w:t>三、基于业务特征的Token管理侧重点</w:t>
      </w:r>
      <w:bookmarkEnd w:id="70"/>
      <w:bookmarkEnd w:id="71"/>
      <w:bookmarkEnd w:id="72"/>
    </w:p>
    <w:p w14:paraId="160FD72F">
      <w:pPr>
        <w:ind w:firstLine="640"/>
      </w:pPr>
      <w:r>
        <w:rPr>
          <w:rFonts w:hint="eastAsia"/>
        </w:rPr>
        <w:t>依据《智能制造典型场景参考指引（2025年版）》和《智能工厂梯度培育要素条件（202</w:t>
      </w:r>
      <w:r>
        <w:t>6</w:t>
      </w:r>
      <w:r>
        <w:rPr>
          <w:rFonts w:hint="eastAsia"/>
        </w:rPr>
        <w:t>年版）》等政策，制造业企业正围绕工厂建设、研发设计、生产作业、生产管理、运营管理等环节开展智能工厂建设。本指引选取17个大模型落地应用成熟度较高的场景，基于对场景业务价值、响应速度和算力中断容忍度等维度对业务特征进行总结，将其划分为生产刚性类、经营优化类、计划决策类和研发仿真类4大类别。在此基础上，本指引针对不同业务特征下的场景提出了Token管理的侧重点建议，旨在为企业进行模型和算力资源管理提供参考。</w:t>
      </w:r>
    </w:p>
    <w:p w14:paraId="28ADBC37">
      <w:pPr>
        <w:ind w:firstLine="0" w:firstLineChars="0"/>
        <w:jc w:val="center"/>
        <w:rPr>
          <w:rFonts w:hint="default" w:ascii="Times New Roman" w:hAnsi="Times New Roman" w:eastAsia="方正黑体_GBK" w:cs="Times New Roman"/>
        </w:rPr>
      </w:pPr>
      <w:r>
        <w:rPr>
          <w:rFonts w:hint="default" w:ascii="Times New Roman" w:hAnsi="Times New Roman" w:eastAsia="方正黑体_GBK" w:cs="Times New Roman"/>
          <w:sz w:val="24"/>
          <w:szCs w:val="21"/>
        </w:rPr>
        <w:t>表</w:t>
      </w:r>
      <w:r>
        <w:rPr>
          <w:rFonts w:hint="default" w:ascii="Times New Roman" w:hAnsi="Times New Roman" w:eastAsia="方正黑体_GBK" w:cs="Times New Roman"/>
          <w:sz w:val="24"/>
          <w:szCs w:val="21"/>
        </w:rPr>
        <w:fldChar w:fldCharType="begin"/>
      </w:r>
      <w:r>
        <w:rPr>
          <w:rFonts w:hint="default" w:ascii="Times New Roman" w:hAnsi="Times New Roman" w:eastAsia="方正黑体_GBK" w:cs="Times New Roman"/>
          <w:sz w:val="24"/>
          <w:szCs w:val="21"/>
        </w:rPr>
        <w:instrText xml:space="preserve"> SEQ 表 \* ARABIC </w:instrText>
      </w:r>
      <w:r>
        <w:rPr>
          <w:rFonts w:hint="default" w:ascii="Times New Roman" w:hAnsi="Times New Roman" w:eastAsia="方正黑体_GBK" w:cs="Times New Roman"/>
          <w:sz w:val="24"/>
          <w:szCs w:val="21"/>
        </w:rPr>
        <w:fldChar w:fldCharType="separate"/>
      </w:r>
      <w:r>
        <w:rPr>
          <w:rFonts w:hint="default" w:ascii="Times New Roman" w:hAnsi="Times New Roman" w:eastAsia="方正黑体_GBK" w:cs="Times New Roman"/>
          <w:sz w:val="24"/>
          <w:szCs w:val="21"/>
        </w:rPr>
        <w:t>9</w:t>
      </w:r>
      <w:r>
        <w:rPr>
          <w:rFonts w:hint="default" w:ascii="Times New Roman" w:hAnsi="Times New Roman" w:eastAsia="方正黑体_GBK" w:cs="Times New Roman"/>
          <w:sz w:val="24"/>
          <w:szCs w:val="21"/>
        </w:rPr>
        <w:fldChar w:fldCharType="end"/>
      </w:r>
      <w:r>
        <w:rPr>
          <w:rFonts w:hint="default" w:ascii="Times New Roman" w:hAnsi="Times New Roman" w:eastAsia="方正黑体_GBK" w:cs="Times New Roman"/>
          <w:sz w:val="24"/>
          <w:szCs w:val="21"/>
        </w:rPr>
        <w:t xml:space="preserve"> 基于业务特征的应用场景清单</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3114"/>
        <w:gridCol w:w="3906"/>
      </w:tblGrid>
      <w:tr w14:paraId="6A34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02D1C023">
            <w:pPr>
              <w:widowControl w:val="0"/>
              <w:spacing w:line="320" w:lineRule="exact"/>
              <w:ind w:firstLine="0" w:firstLineChars="0"/>
              <w:jc w:val="center"/>
              <w:rPr>
                <w:rFonts w:ascii="方正黑体_GBK" w:eastAsia="方正黑体_GBK"/>
                <w:sz w:val="24"/>
                <w:szCs w:val="21"/>
              </w:rPr>
            </w:pPr>
            <w:r>
              <w:rPr>
                <w:rFonts w:hint="eastAsia" w:ascii="方正黑体_GBK" w:eastAsia="方正黑体_GBK"/>
                <w:sz w:val="24"/>
                <w:szCs w:val="21"/>
              </w:rPr>
              <w:t>序号</w:t>
            </w:r>
          </w:p>
        </w:tc>
        <w:tc>
          <w:tcPr>
            <w:tcW w:w="3114" w:type="dxa"/>
          </w:tcPr>
          <w:p w14:paraId="049670C6">
            <w:pPr>
              <w:widowControl w:val="0"/>
              <w:spacing w:line="320" w:lineRule="exact"/>
              <w:ind w:firstLine="0" w:firstLineChars="0"/>
              <w:jc w:val="center"/>
              <w:rPr>
                <w:rFonts w:ascii="方正黑体_GBK" w:eastAsia="方正黑体_GBK"/>
                <w:sz w:val="24"/>
                <w:szCs w:val="21"/>
              </w:rPr>
            </w:pPr>
            <w:r>
              <w:rPr>
                <w:rFonts w:hint="eastAsia" w:ascii="方正黑体_GBK" w:eastAsia="方正黑体_GBK"/>
                <w:sz w:val="24"/>
                <w:szCs w:val="21"/>
              </w:rPr>
              <w:t>业务特征</w:t>
            </w:r>
          </w:p>
        </w:tc>
        <w:tc>
          <w:tcPr>
            <w:tcW w:w="3906" w:type="dxa"/>
          </w:tcPr>
          <w:p w14:paraId="5EE2599E">
            <w:pPr>
              <w:widowControl w:val="0"/>
              <w:spacing w:line="320" w:lineRule="exact"/>
              <w:ind w:firstLine="0" w:firstLineChars="0"/>
              <w:jc w:val="center"/>
              <w:rPr>
                <w:rFonts w:ascii="方正黑体_GBK" w:eastAsia="方正黑体_GBK"/>
                <w:sz w:val="24"/>
                <w:szCs w:val="21"/>
              </w:rPr>
            </w:pPr>
            <w:r>
              <w:rPr>
                <w:rFonts w:hint="eastAsia" w:ascii="方正黑体_GBK" w:eastAsia="方正黑体_GBK"/>
                <w:sz w:val="24"/>
                <w:szCs w:val="21"/>
              </w:rPr>
              <w:t>主要场景</w:t>
            </w:r>
          </w:p>
        </w:tc>
      </w:tr>
      <w:tr w14:paraId="492E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3F587FC8">
            <w:pPr>
              <w:widowControl w:val="0"/>
              <w:spacing w:line="320" w:lineRule="exact"/>
              <w:ind w:firstLine="0" w:firstLineChars="0"/>
              <w:jc w:val="center"/>
              <w:rPr>
                <w:sz w:val="24"/>
                <w:szCs w:val="21"/>
              </w:rPr>
            </w:pPr>
            <w:r>
              <w:rPr>
                <w:rFonts w:hint="eastAsia"/>
                <w:sz w:val="24"/>
                <w:szCs w:val="21"/>
              </w:rPr>
              <w:t>1</w:t>
            </w:r>
          </w:p>
        </w:tc>
        <w:tc>
          <w:tcPr>
            <w:tcW w:w="3114" w:type="dxa"/>
            <w:vMerge w:val="restart"/>
            <w:vAlign w:val="center"/>
          </w:tcPr>
          <w:p w14:paraId="456CECA9">
            <w:pPr>
              <w:widowControl w:val="0"/>
              <w:spacing w:line="320" w:lineRule="exact"/>
              <w:ind w:firstLine="0" w:firstLineChars="0"/>
              <w:jc w:val="center"/>
              <w:rPr>
                <w:sz w:val="24"/>
                <w:szCs w:val="21"/>
              </w:rPr>
            </w:pPr>
            <w:r>
              <w:rPr>
                <w:rFonts w:hint="eastAsia"/>
                <w:sz w:val="24"/>
                <w:szCs w:val="21"/>
              </w:rPr>
              <w:t>生产刚性类</w:t>
            </w:r>
          </w:p>
        </w:tc>
        <w:tc>
          <w:tcPr>
            <w:tcW w:w="3906" w:type="dxa"/>
          </w:tcPr>
          <w:p w14:paraId="1055F4FE">
            <w:pPr>
              <w:widowControl w:val="0"/>
              <w:spacing w:line="320" w:lineRule="exact"/>
              <w:ind w:firstLine="0" w:firstLineChars="0"/>
              <w:jc w:val="center"/>
              <w:rPr>
                <w:sz w:val="24"/>
                <w:szCs w:val="21"/>
              </w:rPr>
            </w:pPr>
            <w:r>
              <w:rPr>
                <w:rFonts w:hint="eastAsia"/>
                <w:sz w:val="24"/>
                <w:szCs w:val="21"/>
              </w:rPr>
              <w:t>设备运行监控与维护</w:t>
            </w:r>
          </w:p>
        </w:tc>
      </w:tr>
      <w:tr w14:paraId="3467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22F820AE">
            <w:pPr>
              <w:widowControl w:val="0"/>
              <w:spacing w:line="320" w:lineRule="exact"/>
              <w:ind w:firstLine="0" w:firstLineChars="0"/>
              <w:jc w:val="center"/>
              <w:rPr>
                <w:sz w:val="24"/>
                <w:szCs w:val="21"/>
              </w:rPr>
            </w:pPr>
            <w:r>
              <w:rPr>
                <w:rFonts w:hint="eastAsia"/>
                <w:sz w:val="24"/>
                <w:szCs w:val="21"/>
              </w:rPr>
              <w:t>2</w:t>
            </w:r>
          </w:p>
        </w:tc>
        <w:tc>
          <w:tcPr>
            <w:tcW w:w="3114" w:type="dxa"/>
            <w:vMerge w:val="continue"/>
          </w:tcPr>
          <w:p w14:paraId="28A42658">
            <w:pPr>
              <w:widowControl w:val="0"/>
              <w:spacing w:line="320" w:lineRule="exact"/>
              <w:ind w:firstLine="0" w:firstLineChars="0"/>
              <w:jc w:val="center"/>
              <w:rPr>
                <w:sz w:val="24"/>
                <w:szCs w:val="21"/>
              </w:rPr>
            </w:pPr>
          </w:p>
        </w:tc>
        <w:tc>
          <w:tcPr>
            <w:tcW w:w="3906" w:type="dxa"/>
          </w:tcPr>
          <w:p w14:paraId="79772599">
            <w:pPr>
              <w:widowControl w:val="0"/>
              <w:spacing w:line="320" w:lineRule="exact"/>
              <w:ind w:firstLine="0" w:firstLineChars="0"/>
              <w:jc w:val="center"/>
              <w:rPr>
                <w:sz w:val="24"/>
                <w:szCs w:val="21"/>
              </w:rPr>
            </w:pPr>
            <w:r>
              <w:rPr>
                <w:rFonts w:hint="eastAsia"/>
                <w:sz w:val="24"/>
                <w:szCs w:val="21"/>
              </w:rPr>
              <w:t>危险作业自动化</w:t>
            </w:r>
          </w:p>
        </w:tc>
      </w:tr>
      <w:tr w14:paraId="5AA3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68A59D48">
            <w:pPr>
              <w:widowControl w:val="0"/>
              <w:spacing w:line="320" w:lineRule="exact"/>
              <w:ind w:firstLine="0" w:firstLineChars="0"/>
              <w:jc w:val="center"/>
              <w:rPr>
                <w:sz w:val="24"/>
                <w:szCs w:val="21"/>
              </w:rPr>
            </w:pPr>
            <w:r>
              <w:rPr>
                <w:rFonts w:hint="eastAsia"/>
                <w:sz w:val="24"/>
                <w:szCs w:val="21"/>
              </w:rPr>
              <w:t>3</w:t>
            </w:r>
          </w:p>
        </w:tc>
        <w:tc>
          <w:tcPr>
            <w:tcW w:w="3114" w:type="dxa"/>
            <w:vMerge w:val="continue"/>
          </w:tcPr>
          <w:p w14:paraId="55FCB39E">
            <w:pPr>
              <w:widowControl w:val="0"/>
              <w:spacing w:line="320" w:lineRule="exact"/>
              <w:ind w:firstLine="0" w:firstLineChars="0"/>
              <w:jc w:val="center"/>
              <w:rPr>
                <w:sz w:val="24"/>
                <w:szCs w:val="21"/>
              </w:rPr>
            </w:pPr>
          </w:p>
        </w:tc>
        <w:tc>
          <w:tcPr>
            <w:tcW w:w="3906" w:type="dxa"/>
          </w:tcPr>
          <w:p w14:paraId="25498BDC">
            <w:pPr>
              <w:widowControl w:val="0"/>
              <w:spacing w:line="320" w:lineRule="exact"/>
              <w:ind w:firstLine="0" w:firstLineChars="0"/>
              <w:jc w:val="center"/>
              <w:rPr>
                <w:sz w:val="24"/>
                <w:szCs w:val="21"/>
              </w:rPr>
            </w:pPr>
            <w:r>
              <w:rPr>
                <w:rFonts w:hint="eastAsia"/>
                <w:sz w:val="24"/>
                <w:szCs w:val="21"/>
              </w:rPr>
              <w:t>在线智能检测</w:t>
            </w:r>
          </w:p>
        </w:tc>
      </w:tr>
      <w:tr w14:paraId="300C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50EC1F49">
            <w:pPr>
              <w:widowControl w:val="0"/>
              <w:spacing w:line="320" w:lineRule="exact"/>
              <w:ind w:firstLine="0" w:firstLineChars="0"/>
              <w:jc w:val="center"/>
              <w:rPr>
                <w:sz w:val="24"/>
                <w:szCs w:val="21"/>
              </w:rPr>
            </w:pPr>
            <w:r>
              <w:rPr>
                <w:rFonts w:hint="eastAsia"/>
                <w:sz w:val="24"/>
                <w:szCs w:val="21"/>
              </w:rPr>
              <w:t>4</w:t>
            </w:r>
          </w:p>
        </w:tc>
        <w:tc>
          <w:tcPr>
            <w:tcW w:w="3114" w:type="dxa"/>
            <w:vMerge w:val="continue"/>
          </w:tcPr>
          <w:p w14:paraId="4EEFBBD6">
            <w:pPr>
              <w:widowControl w:val="0"/>
              <w:spacing w:line="320" w:lineRule="exact"/>
              <w:ind w:firstLine="0" w:firstLineChars="0"/>
              <w:jc w:val="center"/>
              <w:rPr>
                <w:sz w:val="24"/>
                <w:szCs w:val="21"/>
              </w:rPr>
            </w:pPr>
          </w:p>
        </w:tc>
        <w:tc>
          <w:tcPr>
            <w:tcW w:w="3906" w:type="dxa"/>
          </w:tcPr>
          <w:p w14:paraId="6EC1C98A">
            <w:pPr>
              <w:widowControl w:val="0"/>
              <w:spacing w:line="320" w:lineRule="exact"/>
              <w:ind w:firstLine="0" w:firstLineChars="0"/>
              <w:jc w:val="center"/>
              <w:rPr>
                <w:sz w:val="24"/>
                <w:szCs w:val="21"/>
              </w:rPr>
            </w:pPr>
            <w:r>
              <w:rPr>
                <w:rFonts w:hint="eastAsia"/>
                <w:sz w:val="24"/>
                <w:szCs w:val="21"/>
              </w:rPr>
              <w:t>安全一体化管控</w:t>
            </w:r>
          </w:p>
        </w:tc>
      </w:tr>
      <w:tr w14:paraId="60D4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26F6DB69">
            <w:pPr>
              <w:widowControl w:val="0"/>
              <w:spacing w:line="320" w:lineRule="exact"/>
              <w:ind w:firstLine="0" w:firstLineChars="0"/>
              <w:jc w:val="center"/>
              <w:rPr>
                <w:sz w:val="24"/>
                <w:szCs w:val="21"/>
              </w:rPr>
            </w:pPr>
            <w:r>
              <w:rPr>
                <w:rFonts w:hint="eastAsia"/>
                <w:sz w:val="24"/>
                <w:szCs w:val="21"/>
              </w:rPr>
              <w:t>5</w:t>
            </w:r>
          </w:p>
        </w:tc>
        <w:tc>
          <w:tcPr>
            <w:tcW w:w="3114" w:type="dxa"/>
            <w:vMerge w:val="restart"/>
            <w:vAlign w:val="center"/>
          </w:tcPr>
          <w:p w14:paraId="70967E1D">
            <w:pPr>
              <w:widowControl w:val="0"/>
              <w:spacing w:line="320" w:lineRule="exact"/>
              <w:ind w:firstLine="0" w:firstLineChars="0"/>
              <w:jc w:val="center"/>
              <w:rPr>
                <w:sz w:val="24"/>
                <w:szCs w:val="21"/>
              </w:rPr>
            </w:pPr>
            <w:r>
              <w:rPr>
                <w:rFonts w:hint="eastAsia"/>
                <w:sz w:val="24"/>
                <w:szCs w:val="21"/>
              </w:rPr>
              <w:t>经营优化类</w:t>
            </w:r>
          </w:p>
        </w:tc>
        <w:tc>
          <w:tcPr>
            <w:tcW w:w="3906" w:type="dxa"/>
          </w:tcPr>
          <w:p w14:paraId="3CA1CE44">
            <w:pPr>
              <w:widowControl w:val="0"/>
              <w:spacing w:line="320" w:lineRule="exact"/>
              <w:ind w:firstLine="0" w:firstLineChars="0"/>
              <w:jc w:val="center"/>
              <w:rPr>
                <w:sz w:val="24"/>
                <w:szCs w:val="21"/>
              </w:rPr>
            </w:pPr>
            <w:r>
              <w:rPr>
                <w:rFonts w:hint="eastAsia"/>
                <w:sz w:val="24"/>
                <w:szCs w:val="21"/>
              </w:rPr>
              <w:t>工艺动态优化</w:t>
            </w:r>
          </w:p>
        </w:tc>
      </w:tr>
      <w:tr w14:paraId="3133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3F36187E">
            <w:pPr>
              <w:widowControl w:val="0"/>
              <w:spacing w:line="320" w:lineRule="exact"/>
              <w:ind w:firstLine="0" w:firstLineChars="0"/>
              <w:jc w:val="center"/>
              <w:rPr>
                <w:sz w:val="24"/>
                <w:szCs w:val="21"/>
              </w:rPr>
            </w:pPr>
            <w:r>
              <w:rPr>
                <w:rFonts w:hint="eastAsia"/>
                <w:sz w:val="24"/>
                <w:szCs w:val="21"/>
              </w:rPr>
              <w:t>6</w:t>
            </w:r>
          </w:p>
        </w:tc>
        <w:tc>
          <w:tcPr>
            <w:tcW w:w="3114" w:type="dxa"/>
            <w:vMerge w:val="continue"/>
          </w:tcPr>
          <w:p w14:paraId="0DB7F4E4">
            <w:pPr>
              <w:widowControl w:val="0"/>
              <w:spacing w:line="320" w:lineRule="exact"/>
              <w:ind w:firstLine="0" w:firstLineChars="0"/>
              <w:jc w:val="center"/>
              <w:rPr>
                <w:sz w:val="24"/>
                <w:szCs w:val="21"/>
              </w:rPr>
            </w:pPr>
          </w:p>
        </w:tc>
        <w:tc>
          <w:tcPr>
            <w:tcW w:w="3906" w:type="dxa"/>
          </w:tcPr>
          <w:p w14:paraId="2F48364C">
            <w:pPr>
              <w:widowControl w:val="0"/>
              <w:spacing w:line="320" w:lineRule="exact"/>
              <w:ind w:firstLine="0" w:firstLineChars="0"/>
              <w:jc w:val="center"/>
              <w:rPr>
                <w:sz w:val="24"/>
                <w:szCs w:val="21"/>
              </w:rPr>
            </w:pPr>
            <w:r>
              <w:rPr>
                <w:rFonts w:hint="eastAsia"/>
                <w:sz w:val="24"/>
                <w:szCs w:val="21"/>
              </w:rPr>
              <w:t>柔性产线快速换产</w:t>
            </w:r>
          </w:p>
        </w:tc>
      </w:tr>
      <w:tr w14:paraId="2671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36CF1674">
            <w:pPr>
              <w:widowControl w:val="0"/>
              <w:spacing w:line="320" w:lineRule="exact"/>
              <w:ind w:firstLine="0" w:firstLineChars="0"/>
              <w:jc w:val="center"/>
              <w:rPr>
                <w:sz w:val="24"/>
                <w:szCs w:val="21"/>
              </w:rPr>
            </w:pPr>
            <w:r>
              <w:rPr>
                <w:rFonts w:hint="eastAsia"/>
                <w:sz w:val="24"/>
                <w:szCs w:val="21"/>
              </w:rPr>
              <w:t>7</w:t>
            </w:r>
          </w:p>
        </w:tc>
        <w:tc>
          <w:tcPr>
            <w:tcW w:w="3114" w:type="dxa"/>
            <w:vMerge w:val="continue"/>
            <w:vAlign w:val="center"/>
          </w:tcPr>
          <w:p w14:paraId="54100BEC">
            <w:pPr>
              <w:widowControl w:val="0"/>
              <w:spacing w:line="320" w:lineRule="exact"/>
              <w:ind w:firstLine="0" w:firstLineChars="0"/>
              <w:jc w:val="center"/>
              <w:rPr>
                <w:sz w:val="24"/>
                <w:szCs w:val="21"/>
              </w:rPr>
            </w:pPr>
          </w:p>
        </w:tc>
        <w:tc>
          <w:tcPr>
            <w:tcW w:w="3906" w:type="dxa"/>
          </w:tcPr>
          <w:p w14:paraId="3C745903">
            <w:pPr>
              <w:widowControl w:val="0"/>
              <w:spacing w:line="320" w:lineRule="exact"/>
              <w:ind w:firstLine="0" w:firstLineChars="0"/>
              <w:jc w:val="center"/>
              <w:rPr>
                <w:sz w:val="24"/>
                <w:szCs w:val="21"/>
              </w:rPr>
            </w:pPr>
            <w:r>
              <w:rPr>
                <w:rFonts w:hint="eastAsia"/>
                <w:sz w:val="24"/>
                <w:szCs w:val="21"/>
              </w:rPr>
              <w:t>质量精准追溯</w:t>
            </w:r>
          </w:p>
        </w:tc>
      </w:tr>
      <w:tr w14:paraId="52C7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7868AA29">
            <w:pPr>
              <w:widowControl w:val="0"/>
              <w:spacing w:line="320" w:lineRule="exact"/>
              <w:ind w:firstLine="0" w:firstLineChars="0"/>
              <w:jc w:val="center"/>
              <w:rPr>
                <w:sz w:val="24"/>
                <w:szCs w:val="21"/>
              </w:rPr>
            </w:pPr>
            <w:r>
              <w:rPr>
                <w:rFonts w:hint="eastAsia"/>
                <w:sz w:val="24"/>
                <w:szCs w:val="21"/>
              </w:rPr>
              <w:t>8</w:t>
            </w:r>
          </w:p>
        </w:tc>
        <w:tc>
          <w:tcPr>
            <w:tcW w:w="3114" w:type="dxa"/>
            <w:vMerge w:val="continue"/>
          </w:tcPr>
          <w:p w14:paraId="44F619B5">
            <w:pPr>
              <w:widowControl w:val="0"/>
              <w:spacing w:line="320" w:lineRule="exact"/>
              <w:ind w:firstLine="0" w:firstLineChars="0"/>
              <w:jc w:val="center"/>
              <w:rPr>
                <w:sz w:val="24"/>
                <w:szCs w:val="21"/>
              </w:rPr>
            </w:pPr>
          </w:p>
        </w:tc>
        <w:tc>
          <w:tcPr>
            <w:tcW w:w="3906" w:type="dxa"/>
          </w:tcPr>
          <w:p w14:paraId="010722A5">
            <w:pPr>
              <w:widowControl w:val="0"/>
              <w:spacing w:line="320" w:lineRule="exact"/>
              <w:ind w:firstLine="0" w:firstLineChars="0"/>
              <w:jc w:val="center"/>
              <w:rPr>
                <w:sz w:val="24"/>
                <w:szCs w:val="21"/>
              </w:rPr>
            </w:pPr>
            <w:r>
              <w:rPr>
                <w:rFonts w:hint="eastAsia"/>
                <w:sz w:val="24"/>
                <w:szCs w:val="21"/>
              </w:rPr>
              <w:t>物料精准配送</w:t>
            </w:r>
          </w:p>
        </w:tc>
      </w:tr>
      <w:tr w14:paraId="738F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4899828D">
            <w:pPr>
              <w:widowControl w:val="0"/>
              <w:spacing w:line="320" w:lineRule="exact"/>
              <w:ind w:firstLine="0" w:firstLineChars="0"/>
              <w:jc w:val="center"/>
              <w:rPr>
                <w:sz w:val="24"/>
                <w:szCs w:val="21"/>
              </w:rPr>
            </w:pPr>
            <w:r>
              <w:rPr>
                <w:rFonts w:hint="eastAsia"/>
                <w:sz w:val="24"/>
                <w:szCs w:val="21"/>
              </w:rPr>
              <w:t>9</w:t>
            </w:r>
          </w:p>
        </w:tc>
        <w:tc>
          <w:tcPr>
            <w:tcW w:w="3114" w:type="dxa"/>
            <w:vMerge w:val="continue"/>
          </w:tcPr>
          <w:p w14:paraId="5B49FF92">
            <w:pPr>
              <w:widowControl w:val="0"/>
              <w:spacing w:line="320" w:lineRule="exact"/>
              <w:ind w:firstLine="0" w:firstLineChars="0"/>
              <w:jc w:val="center"/>
              <w:rPr>
                <w:sz w:val="24"/>
                <w:szCs w:val="21"/>
              </w:rPr>
            </w:pPr>
          </w:p>
        </w:tc>
        <w:tc>
          <w:tcPr>
            <w:tcW w:w="3906" w:type="dxa"/>
          </w:tcPr>
          <w:p w14:paraId="432E6DF7">
            <w:pPr>
              <w:widowControl w:val="0"/>
              <w:spacing w:line="320" w:lineRule="exact"/>
              <w:ind w:firstLine="0" w:firstLineChars="0"/>
              <w:jc w:val="center"/>
              <w:rPr>
                <w:sz w:val="24"/>
                <w:szCs w:val="21"/>
              </w:rPr>
            </w:pPr>
            <w:r>
              <w:rPr>
                <w:rFonts w:hint="eastAsia"/>
                <w:sz w:val="24"/>
                <w:szCs w:val="21"/>
              </w:rPr>
              <w:t>仓储智能管理</w:t>
            </w:r>
          </w:p>
        </w:tc>
      </w:tr>
      <w:tr w14:paraId="1E4B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534E0B3C">
            <w:pPr>
              <w:widowControl w:val="0"/>
              <w:spacing w:line="320" w:lineRule="exact"/>
              <w:ind w:firstLine="0" w:firstLineChars="0"/>
              <w:jc w:val="center"/>
              <w:rPr>
                <w:sz w:val="24"/>
                <w:szCs w:val="21"/>
              </w:rPr>
            </w:pPr>
            <w:r>
              <w:rPr>
                <w:rFonts w:hint="eastAsia"/>
                <w:sz w:val="24"/>
                <w:szCs w:val="21"/>
              </w:rPr>
              <w:t>10</w:t>
            </w:r>
          </w:p>
        </w:tc>
        <w:tc>
          <w:tcPr>
            <w:tcW w:w="3114" w:type="dxa"/>
            <w:vMerge w:val="restart"/>
            <w:vAlign w:val="center"/>
          </w:tcPr>
          <w:p w14:paraId="3B7139BB">
            <w:pPr>
              <w:widowControl w:val="0"/>
              <w:spacing w:line="320" w:lineRule="exact"/>
              <w:ind w:firstLine="0" w:firstLineChars="0"/>
              <w:jc w:val="center"/>
              <w:rPr>
                <w:sz w:val="24"/>
                <w:szCs w:val="21"/>
              </w:rPr>
            </w:pPr>
            <w:r>
              <w:rPr>
                <w:rFonts w:hint="eastAsia"/>
                <w:sz w:val="24"/>
                <w:szCs w:val="21"/>
              </w:rPr>
              <w:t>计划决策类</w:t>
            </w:r>
          </w:p>
        </w:tc>
        <w:tc>
          <w:tcPr>
            <w:tcW w:w="3906" w:type="dxa"/>
          </w:tcPr>
          <w:p w14:paraId="543E0703">
            <w:pPr>
              <w:widowControl w:val="0"/>
              <w:spacing w:line="320" w:lineRule="exact"/>
              <w:ind w:firstLine="0" w:firstLineChars="0"/>
              <w:jc w:val="center"/>
              <w:rPr>
                <w:sz w:val="24"/>
                <w:szCs w:val="21"/>
              </w:rPr>
            </w:pPr>
            <w:r>
              <w:rPr>
                <w:rFonts w:hint="eastAsia"/>
                <w:sz w:val="24"/>
                <w:szCs w:val="21"/>
              </w:rPr>
              <w:t>生产计划优化</w:t>
            </w:r>
          </w:p>
        </w:tc>
      </w:tr>
      <w:tr w14:paraId="26B9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64" w:type="dxa"/>
          </w:tcPr>
          <w:p w14:paraId="6B8DF5BE">
            <w:pPr>
              <w:widowControl w:val="0"/>
              <w:spacing w:line="320" w:lineRule="exact"/>
              <w:ind w:firstLine="0" w:firstLineChars="0"/>
              <w:jc w:val="center"/>
              <w:rPr>
                <w:sz w:val="24"/>
                <w:szCs w:val="21"/>
              </w:rPr>
            </w:pPr>
            <w:r>
              <w:rPr>
                <w:rFonts w:hint="eastAsia"/>
                <w:sz w:val="24"/>
                <w:szCs w:val="21"/>
              </w:rPr>
              <w:t>11</w:t>
            </w:r>
          </w:p>
        </w:tc>
        <w:tc>
          <w:tcPr>
            <w:tcW w:w="3114" w:type="dxa"/>
            <w:vMerge w:val="continue"/>
          </w:tcPr>
          <w:p w14:paraId="29A789DB">
            <w:pPr>
              <w:widowControl w:val="0"/>
              <w:spacing w:line="320" w:lineRule="exact"/>
              <w:ind w:firstLine="0" w:firstLineChars="0"/>
              <w:jc w:val="center"/>
              <w:rPr>
                <w:sz w:val="24"/>
                <w:szCs w:val="21"/>
              </w:rPr>
            </w:pPr>
          </w:p>
        </w:tc>
        <w:tc>
          <w:tcPr>
            <w:tcW w:w="3906" w:type="dxa"/>
          </w:tcPr>
          <w:p w14:paraId="6A3B6AA5">
            <w:pPr>
              <w:widowControl w:val="0"/>
              <w:spacing w:line="320" w:lineRule="exact"/>
              <w:ind w:firstLine="0" w:firstLineChars="0"/>
              <w:jc w:val="center"/>
              <w:rPr>
                <w:sz w:val="24"/>
                <w:szCs w:val="21"/>
              </w:rPr>
            </w:pPr>
            <w:r>
              <w:rPr>
                <w:rFonts w:hint="eastAsia"/>
                <w:sz w:val="24"/>
                <w:szCs w:val="21"/>
              </w:rPr>
              <w:t>采购计划优化协同</w:t>
            </w:r>
          </w:p>
        </w:tc>
      </w:tr>
      <w:tr w14:paraId="28F6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64" w:type="dxa"/>
          </w:tcPr>
          <w:p w14:paraId="6E45A896">
            <w:pPr>
              <w:widowControl w:val="0"/>
              <w:spacing w:line="320" w:lineRule="exact"/>
              <w:ind w:firstLine="0" w:firstLineChars="0"/>
              <w:jc w:val="center"/>
              <w:rPr>
                <w:sz w:val="24"/>
                <w:szCs w:val="21"/>
              </w:rPr>
            </w:pPr>
            <w:r>
              <w:rPr>
                <w:rFonts w:hint="eastAsia"/>
                <w:sz w:val="24"/>
                <w:szCs w:val="21"/>
              </w:rPr>
              <w:t>12</w:t>
            </w:r>
          </w:p>
        </w:tc>
        <w:tc>
          <w:tcPr>
            <w:tcW w:w="3114" w:type="dxa"/>
            <w:vMerge w:val="continue"/>
          </w:tcPr>
          <w:p w14:paraId="2A5C8043">
            <w:pPr>
              <w:widowControl w:val="0"/>
              <w:spacing w:line="320" w:lineRule="exact"/>
              <w:ind w:firstLine="0" w:firstLineChars="0"/>
              <w:jc w:val="center"/>
              <w:rPr>
                <w:sz w:val="24"/>
                <w:szCs w:val="21"/>
              </w:rPr>
            </w:pPr>
          </w:p>
        </w:tc>
        <w:tc>
          <w:tcPr>
            <w:tcW w:w="3906" w:type="dxa"/>
          </w:tcPr>
          <w:p w14:paraId="1345A634">
            <w:pPr>
              <w:widowControl w:val="0"/>
              <w:spacing w:line="320" w:lineRule="exact"/>
              <w:ind w:firstLine="0" w:firstLineChars="0"/>
              <w:jc w:val="center"/>
              <w:rPr>
                <w:sz w:val="24"/>
                <w:szCs w:val="21"/>
              </w:rPr>
            </w:pPr>
            <w:r>
              <w:rPr>
                <w:rFonts w:hint="eastAsia"/>
                <w:sz w:val="24"/>
                <w:szCs w:val="21"/>
              </w:rPr>
              <w:t>智能经营决策</w:t>
            </w:r>
          </w:p>
        </w:tc>
      </w:tr>
      <w:tr w14:paraId="09D5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64" w:type="dxa"/>
          </w:tcPr>
          <w:p w14:paraId="6F180BEE">
            <w:pPr>
              <w:widowControl w:val="0"/>
              <w:spacing w:line="320" w:lineRule="exact"/>
              <w:ind w:firstLine="0" w:firstLineChars="0"/>
              <w:jc w:val="center"/>
              <w:rPr>
                <w:sz w:val="24"/>
                <w:szCs w:val="21"/>
              </w:rPr>
            </w:pPr>
            <w:r>
              <w:rPr>
                <w:rFonts w:hint="eastAsia"/>
                <w:sz w:val="24"/>
                <w:szCs w:val="21"/>
              </w:rPr>
              <w:t>13</w:t>
            </w:r>
          </w:p>
        </w:tc>
        <w:tc>
          <w:tcPr>
            <w:tcW w:w="3114" w:type="dxa"/>
            <w:vMerge w:val="continue"/>
          </w:tcPr>
          <w:p w14:paraId="4165BDC2">
            <w:pPr>
              <w:widowControl w:val="0"/>
              <w:spacing w:line="320" w:lineRule="exact"/>
              <w:ind w:firstLine="0" w:firstLineChars="0"/>
              <w:jc w:val="center"/>
              <w:rPr>
                <w:sz w:val="24"/>
                <w:szCs w:val="21"/>
              </w:rPr>
            </w:pPr>
          </w:p>
        </w:tc>
        <w:tc>
          <w:tcPr>
            <w:tcW w:w="3906" w:type="dxa"/>
          </w:tcPr>
          <w:p w14:paraId="18885478">
            <w:pPr>
              <w:widowControl w:val="0"/>
              <w:spacing w:line="320" w:lineRule="exact"/>
              <w:ind w:firstLine="0" w:firstLineChars="0"/>
              <w:jc w:val="center"/>
              <w:rPr>
                <w:sz w:val="24"/>
                <w:szCs w:val="21"/>
              </w:rPr>
            </w:pPr>
            <w:r>
              <w:rPr>
                <w:rFonts w:hint="eastAsia"/>
                <w:sz w:val="24"/>
                <w:szCs w:val="21"/>
              </w:rPr>
              <w:t>数智精益管理</w:t>
            </w:r>
          </w:p>
        </w:tc>
      </w:tr>
      <w:tr w14:paraId="5551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64" w:type="dxa"/>
          </w:tcPr>
          <w:p w14:paraId="77F8468C">
            <w:pPr>
              <w:widowControl w:val="0"/>
              <w:spacing w:line="320" w:lineRule="exact"/>
              <w:ind w:firstLine="0" w:firstLineChars="0"/>
              <w:jc w:val="center"/>
              <w:rPr>
                <w:sz w:val="24"/>
                <w:szCs w:val="21"/>
              </w:rPr>
            </w:pPr>
            <w:r>
              <w:rPr>
                <w:rFonts w:hint="eastAsia"/>
                <w:sz w:val="24"/>
                <w:szCs w:val="21"/>
              </w:rPr>
              <w:t>14</w:t>
            </w:r>
          </w:p>
        </w:tc>
        <w:tc>
          <w:tcPr>
            <w:tcW w:w="3114" w:type="dxa"/>
            <w:vMerge w:val="continue"/>
            <w:vAlign w:val="center"/>
          </w:tcPr>
          <w:p w14:paraId="3DF3FEE4">
            <w:pPr>
              <w:widowControl w:val="0"/>
              <w:spacing w:line="320" w:lineRule="exact"/>
              <w:ind w:firstLine="0" w:firstLineChars="0"/>
              <w:jc w:val="center"/>
              <w:rPr>
                <w:sz w:val="24"/>
                <w:szCs w:val="21"/>
              </w:rPr>
            </w:pPr>
          </w:p>
        </w:tc>
        <w:tc>
          <w:tcPr>
            <w:tcW w:w="3906" w:type="dxa"/>
          </w:tcPr>
          <w:p w14:paraId="488237CA">
            <w:pPr>
              <w:widowControl w:val="0"/>
              <w:spacing w:line="320" w:lineRule="exact"/>
              <w:ind w:firstLine="0" w:firstLineChars="0"/>
              <w:jc w:val="center"/>
              <w:rPr>
                <w:sz w:val="24"/>
                <w:szCs w:val="21"/>
              </w:rPr>
            </w:pPr>
            <w:r>
              <w:rPr>
                <w:rFonts w:hint="eastAsia"/>
                <w:sz w:val="24"/>
                <w:szCs w:val="21"/>
              </w:rPr>
              <w:t>供应链风险预警与调度</w:t>
            </w:r>
          </w:p>
        </w:tc>
      </w:tr>
      <w:tr w14:paraId="4A4F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0DECDA15">
            <w:pPr>
              <w:widowControl w:val="0"/>
              <w:spacing w:line="320" w:lineRule="exact"/>
              <w:ind w:firstLine="0" w:firstLineChars="0"/>
              <w:jc w:val="center"/>
              <w:rPr>
                <w:sz w:val="24"/>
                <w:szCs w:val="21"/>
              </w:rPr>
            </w:pPr>
            <w:r>
              <w:rPr>
                <w:rFonts w:hint="eastAsia"/>
                <w:sz w:val="24"/>
                <w:szCs w:val="21"/>
              </w:rPr>
              <w:t>15</w:t>
            </w:r>
          </w:p>
        </w:tc>
        <w:tc>
          <w:tcPr>
            <w:tcW w:w="3114" w:type="dxa"/>
            <w:vMerge w:val="restart"/>
            <w:vAlign w:val="center"/>
          </w:tcPr>
          <w:p w14:paraId="1E29683D">
            <w:pPr>
              <w:widowControl w:val="0"/>
              <w:spacing w:line="320" w:lineRule="exact"/>
              <w:ind w:firstLine="0" w:firstLineChars="0"/>
              <w:jc w:val="center"/>
              <w:rPr>
                <w:sz w:val="24"/>
                <w:szCs w:val="21"/>
              </w:rPr>
            </w:pPr>
            <w:r>
              <w:rPr>
                <w:rFonts w:hint="eastAsia"/>
                <w:sz w:val="24"/>
                <w:szCs w:val="21"/>
              </w:rPr>
              <w:t>研发仿真类</w:t>
            </w:r>
          </w:p>
        </w:tc>
        <w:tc>
          <w:tcPr>
            <w:tcW w:w="3906" w:type="dxa"/>
          </w:tcPr>
          <w:p w14:paraId="30D33B64">
            <w:pPr>
              <w:widowControl w:val="0"/>
              <w:spacing w:line="320" w:lineRule="exact"/>
              <w:ind w:firstLine="0" w:firstLineChars="0"/>
              <w:jc w:val="center"/>
              <w:rPr>
                <w:sz w:val="24"/>
                <w:szCs w:val="21"/>
              </w:rPr>
            </w:pPr>
            <w:r>
              <w:rPr>
                <w:rFonts w:hint="eastAsia"/>
                <w:sz w:val="24"/>
                <w:szCs w:val="21"/>
              </w:rPr>
              <w:t>产品数字化设计</w:t>
            </w:r>
          </w:p>
        </w:tc>
      </w:tr>
      <w:tr w14:paraId="22642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2AADF617">
            <w:pPr>
              <w:widowControl w:val="0"/>
              <w:spacing w:line="320" w:lineRule="exact"/>
              <w:ind w:firstLine="0" w:firstLineChars="0"/>
              <w:jc w:val="center"/>
              <w:rPr>
                <w:sz w:val="24"/>
                <w:szCs w:val="21"/>
              </w:rPr>
            </w:pPr>
            <w:r>
              <w:rPr>
                <w:rFonts w:hint="eastAsia"/>
                <w:sz w:val="24"/>
                <w:szCs w:val="21"/>
              </w:rPr>
              <w:t>16</w:t>
            </w:r>
          </w:p>
        </w:tc>
        <w:tc>
          <w:tcPr>
            <w:tcW w:w="3114" w:type="dxa"/>
            <w:vMerge w:val="continue"/>
          </w:tcPr>
          <w:p w14:paraId="0D0DCC5D">
            <w:pPr>
              <w:widowControl w:val="0"/>
              <w:spacing w:line="320" w:lineRule="exact"/>
              <w:ind w:firstLine="0" w:firstLineChars="0"/>
              <w:jc w:val="center"/>
              <w:rPr>
                <w:sz w:val="24"/>
                <w:szCs w:val="21"/>
              </w:rPr>
            </w:pPr>
          </w:p>
        </w:tc>
        <w:tc>
          <w:tcPr>
            <w:tcW w:w="3906" w:type="dxa"/>
          </w:tcPr>
          <w:p w14:paraId="1839F562">
            <w:pPr>
              <w:widowControl w:val="0"/>
              <w:spacing w:line="320" w:lineRule="exact"/>
              <w:ind w:firstLine="0" w:firstLineChars="0"/>
              <w:jc w:val="center"/>
              <w:rPr>
                <w:sz w:val="24"/>
                <w:szCs w:val="21"/>
              </w:rPr>
            </w:pPr>
            <w:r>
              <w:rPr>
                <w:rFonts w:hint="eastAsia"/>
                <w:sz w:val="24"/>
                <w:szCs w:val="21"/>
              </w:rPr>
              <w:t>工艺数字化设计</w:t>
            </w:r>
          </w:p>
        </w:tc>
      </w:tr>
      <w:tr w14:paraId="2AA5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4" w:type="dxa"/>
          </w:tcPr>
          <w:p w14:paraId="5AD3BF5C">
            <w:pPr>
              <w:widowControl w:val="0"/>
              <w:spacing w:line="320" w:lineRule="exact"/>
              <w:ind w:firstLine="0" w:firstLineChars="0"/>
              <w:jc w:val="center"/>
              <w:rPr>
                <w:sz w:val="24"/>
                <w:szCs w:val="21"/>
              </w:rPr>
            </w:pPr>
            <w:r>
              <w:rPr>
                <w:rFonts w:hint="eastAsia"/>
                <w:sz w:val="24"/>
                <w:szCs w:val="21"/>
              </w:rPr>
              <w:t>17</w:t>
            </w:r>
          </w:p>
        </w:tc>
        <w:tc>
          <w:tcPr>
            <w:tcW w:w="3114" w:type="dxa"/>
            <w:vMerge w:val="continue"/>
          </w:tcPr>
          <w:p w14:paraId="6BC4CD0C">
            <w:pPr>
              <w:widowControl w:val="0"/>
              <w:spacing w:line="320" w:lineRule="exact"/>
              <w:ind w:firstLine="0" w:firstLineChars="0"/>
              <w:jc w:val="center"/>
              <w:rPr>
                <w:sz w:val="24"/>
                <w:szCs w:val="21"/>
              </w:rPr>
            </w:pPr>
          </w:p>
        </w:tc>
        <w:tc>
          <w:tcPr>
            <w:tcW w:w="3906" w:type="dxa"/>
          </w:tcPr>
          <w:p w14:paraId="1C5DF710">
            <w:pPr>
              <w:widowControl w:val="0"/>
              <w:spacing w:line="320" w:lineRule="exact"/>
              <w:ind w:firstLine="0" w:firstLineChars="0"/>
              <w:jc w:val="center"/>
              <w:rPr>
                <w:sz w:val="24"/>
                <w:szCs w:val="21"/>
              </w:rPr>
            </w:pPr>
            <w:r>
              <w:rPr>
                <w:rFonts w:hint="eastAsia"/>
                <w:sz w:val="24"/>
                <w:szCs w:val="21"/>
              </w:rPr>
              <w:t>数字孪生工厂构建</w:t>
            </w:r>
          </w:p>
        </w:tc>
      </w:tr>
    </w:tbl>
    <w:p w14:paraId="66A9A8BD">
      <w:pPr>
        <w:pStyle w:val="3"/>
        <w:ind w:left="220" w:firstLineChars="0"/>
      </w:pPr>
      <w:bookmarkStart w:id="73" w:name="_Toc23385"/>
      <w:bookmarkStart w:id="74" w:name="_Toc25322"/>
      <w:r>
        <w:rPr>
          <w:rFonts w:hint="eastAsia"/>
        </w:rPr>
        <w:t>（一）生产刚性类</w:t>
      </w:r>
      <w:bookmarkEnd w:id="73"/>
      <w:bookmarkEnd w:id="74"/>
    </w:p>
    <w:p w14:paraId="4133BD1C">
      <w:pPr>
        <w:ind w:left="220" w:firstLine="640"/>
        <w:rPr>
          <w:bCs/>
          <w:szCs w:val="32"/>
          <w14:ligatures w14:val="none"/>
        </w:rPr>
      </w:pPr>
      <w:r>
        <w:rPr>
          <w:rFonts w:hint="eastAsia"/>
          <w:bCs/>
          <w:szCs w:val="32"/>
          <w14:ligatures w14:val="none"/>
        </w:rPr>
        <w:t>生产刚性类场景以直接支撑现场连续生产的核心业务为模型调用模式，此类场景的推理结果直接决定产线连续生产状态，一旦模型调用异常、响应延迟或资源不足，极易引发产品批量不良、产线停机、设备故障扩大等生产损失，对推理实时性、服务可用性、调用稳定性要求极高。管理侧重点在于优先满足实时生产需求，再管控资源成本。</w:t>
      </w:r>
    </w:p>
    <w:p w14:paraId="1F8B434F">
      <w:pPr>
        <w:pStyle w:val="4"/>
        <w:numPr>
          <w:ilvl w:val="0"/>
          <w:numId w:val="3"/>
        </w:numPr>
        <w:ind w:left="-3" w:firstLine="643" w:firstLineChars="0"/>
      </w:pPr>
      <w:bookmarkStart w:id="75" w:name="_Toc2670"/>
      <w:bookmarkStart w:id="76" w:name="_Toc5906"/>
      <w:r>
        <w:rPr>
          <w:rFonts w:hint="eastAsia"/>
        </w:rPr>
        <w:t>在线智能检测</w:t>
      </w:r>
      <w:bookmarkEnd w:id="75"/>
      <w:bookmarkEnd w:id="76"/>
    </w:p>
    <w:p w14:paraId="0D81885D">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在线智能检测模型应用主要包括以下场景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一是工业产线视觉与缺陷自动检测。通过结合产线工业相机获取的原始图片，模型能够进行高精度的推理分析，能够精准捕捉并自动判定产品瑕疵，实现毫米级甚至亚毫米级的缺陷识别，从而将传统的人工抽检升级为100%覆盖的自动化全检。二是缺陷智能分类与溯源。在检出缺陷后，模型可精准区分缺陷类型，并自动统计各类缺陷的占比。在此基础上，系统联动设备运行参数、原材料批次等生产数据，深度剖析缺陷产生的根本原因，实现“检测—分类—溯源—优化”的闭环。</w:t>
      </w:r>
    </w:p>
    <w:p w14:paraId="0CDE9D84">
      <w:pPr>
        <w:ind w:firstLine="643"/>
        <w:rPr>
          <w:b/>
          <w:bCs/>
        </w:rPr>
      </w:pPr>
      <w:r>
        <w:rPr>
          <w:rFonts w:hint="eastAsia"/>
          <w:b/>
          <w:bCs/>
        </w:rPr>
        <w:t>（1）Token消耗特征</w:t>
      </w:r>
    </w:p>
    <w:p w14:paraId="29CD3AFD">
      <w:pPr>
        <w:ind w:firstLine="643"/>
      </w:pPr>
      <w:r>
        <w:rPr>
          <w:rFonts w:hint="eastAsia"/>
          <w:b/>
          <w:bCs/>
        </w:rPr>
        <w:t>一是图像Token化的算力消耗与结构数据的Token冗余消耗。</w:t>
      </w:r>
      <w:r>
        <w:rPr>
          <w:rFonts w:hint="eastAsia"/>
        </w:rPr>
        <w:t>在视觉与缺陷自动检测环节，工业相机采集的高清原始图片在输入模型前，需要被切分为大量像素块转化为视觉Token，会产生大量的基础算力消耗。另外，产线视觉模型持续输出标准化缺陷信息，每条记录重复携带产线编号、时间戳、产品型号等静态标识，形成固有结构性Token冗余。</w:t>
      </w:r>
    </w:p>
    <w:p w14:paraId="15A4DF80">
      <w:pPr>
        <w:ind w:firstLine="643"/>
      </w:pPr>
      <w:r>
        <w:rPr>
          <w:rFonts w:hint="eastAsia"/>
          <w:b/>
          <w:bCs/>
        </w:rPr>
        <w:t>二是Token调用请求呈事件驱动分布。</w:t>
      </w:r>
      <w:r>
        <w:rPr>
          <w:rFonts w:hint="eastAsia"/>
        </w:rPr>
        <w:t>Token调用请求与产线缺陷发生强绑定，产线稳定生产，良品样本一般不触发大模型推理。当原材料波动、工装磨损引发批量缺陷时，Token消耗会快速形成瞬时流量尖峰，少量异常时段占用整体大部分Token资源，存在重尾分布特征。</w:t>
      </w:r>
    </w:p>
    <w:p w14:paraId="07F703DF">
      <w:pPr>
        <w:ind w:firstLine="643"/>
      </w:pPr>
      <w:r>
        <w:rPr>
          <w:rFonts w:hint="eastAsia"/>
          <w:b/>
          <w:bCs/>
        </w:rPr>
        <w:t>三是基线提示词构成稳定Token消耗。</w:t>
      </w:r>
      <w:r>
        <w:rPr>
          <w:rFonts w:hint="eastAsia"/>
        </w:rPr>
        <w:t>质检标准、缺陷判定规则组成的系统提示词构成每一次请求的固定基线Token开销；场景以单次独立推理任务为主，极少长期保留多轮对话历史，Token上涨主要来源于单次输入数据体量增大，而非对话上下文持续叠加。</w:t>
      </w:r>
    </w:p>
    <w:p w14:paraId="0E9BF414">
      <w:pPr>
        <w:ind w:firstLine="643"/>
      </w:pPr>
      <w:r>
        <w:rPr>
          <w:rFonts w:hint="eastAsia"/>
          <w:b/>
          <w:bCs/>
        </w:rPr>
        <w:t>四是Token消耗区间因不同任务分化显著。</w:t>
      </w:r>
      <w:r>
        <w:rPr>
          <w:rFonts w:hint="eastAsia"/>
        </w:rPr>
        <w:t>在线实时缺陷判定、后台批量缺陷溯源两类任务在Token量级、约束条件、波动规律存在明显分界。在线实时缺陷判定以单条缺陷数据输入为主，以固定系统提示词为基线，不加载历史缺陷数据，单次Token规模有限；批量溯源任务需聚合多条缺陷记录、时序PLC参数、历史不良案例等信息，单次Token上限大幅抬升，同时易产生定时集中并发。</w:t>
      </w:r>
    </w:p>
    <w:p w14:paraId="647CBEA5">
      <w:pPr>
        <w:ind w:firstLine="643" w:firstLineChars="0"/>
        <w:rPr>
          <w:rFonts w:cs="Times New Roman"/>
          <w:b/>
          <w:bCs/>
          <w:kern w:val="0"/>
          <w:szCs w:val="27"/>
          <w14:ligatures w14:val="none"/>
        </w:rPr>
      </w:pPr>
      <w:r>
        <w:rPr>
          <w:rFonts w:hint="eastAsia" w:cs="Times New Roman"/>
          <w:b/>
          <w:bCs/>
          <w:kern w:val="0"/>
          <w:szCs w:val="27"/>
          <w14:ligatures w14:val="none"/>
        </w:rPr>
        <w:t>（2）Token管理侧重点</w:t>
      </w:r>
    </w:p>
    <w:p w14:paraId="63B99433">
      <w:pPr>
        <w:ind w:firstLine="643"/>
        <w:rPr>
          <w:rFonts w:cs="Times New Roman"/>
          <w:kern w:val="0"/>
          <w:szCs w:val="27"/>
          <w14:ligatures w14:val="none"/>
        </w:rPr>
      </w:pPr>
      <w:r>
        <w:rPr>
          <w:rFonts w:hint="eastAsia" w:cs="Times New Roman"/>
          <w:b/>
          <w:bCs/>
          <w:kern w:val="0"/>
          <w:szCs w:val="27"/>
          <w14:ligatures w14:val="none"/>
        </w:rPr>
        <w:t>建立结构化数据前置预处理机制。一是</w:t>
      </w:r>
      <w:r>
        <w:rPr>
          <w:rFonts w:hint="eastAsia" w:cs="Times New Roman"/>
          <w:kern w:val="0"/>
          <w:szCs w:val="27"/>
          <w14:ligatures w14:val="none"/>
        </w:rPr>
        <w:t>实施结构化信息精简清洗，对视觉检测输出的JSON缺陷数据、设备工况参数进行字段筛选，剔除反复出现的产线编号、时间戳等静态标识，去除多余分隔符、换行符等格式化字符，降低序列化文本自带的无效Token开销。</w:t>
      </w:r>
      <w:r>
        <w:rPr>
          <w:rFonts w:hint="eastAsia" w:cs="Times New Roman"/>
          <w:b/>
          <w:bCs/>
          <w:kern w:val="0"/>
          <w:szCs w:val="27"/>
          <w14:ligatures w14:val="none"/>
        </w:rPr>
        <w:t>二是</w:t>
      </w:r>
      <w:r>
        <w:rPr>
          <w:rFonts w:hint="eastAsia" w:cs="Times New Roman"/>
          <w:kern w:val="0"/>
          <w:szCs w:val="27"/>
          <w14:ligatures w14:val="none"/>
        </w:rPr>
        <w:t>构建信息分级传输策略，严格区分缺陷判定必填核心参数与辅助拓展信息，在线实时检测链路仅传输关键指标，批量溯源场景按需加载完整数据，杜绝未经筛选的全量原始数据持续送入模型，从源头控制Token规模，降低大模型稳态显存占用。</w:t>
      </w:r>
    </w:p>
    <w:p w14:paraId="5E796FEB">
      <w:pPr>
        <w:ind w:firstLine="643"/>
        <w:rPr>
          <w:rFonts w:cs="Times New Roman"/>
          <w:kern w:val="0"/>
          <w:szCs w:val="27"/>
          <w14:ligatures w14:val="none"/>
        </w:rPr>
      </w:pPr>
      <w:r>
        <w:rPr>
          <w:rFonts w:hint="eastAsia" w:cs="Times New Roman"/>
          <w:b/>
          <w:bCs/>
          <w:kern w:val="0"/>
          <w:szCs w:val="27"/>
          <w14:ligatures w14:val="none"/>
        </w:rPr>
        <w:t>建立任务驱动的模型智能路由机制。</w:t>
      </w:r>
      <w:r>
        <w:rPr>
          <w:rFonts w:hint="eastAsia" w:cs="Times New Roman"/>
          <w:kern w:val="0"/>
          <w:szCs w:val="27"/>
          <w14:ligatures w14:val="none"/>
        </w:rPr>
        <w:t>在产线旁部署边缘网关，将量化压缩后的轻量级模型直接下发至端侧。端侧算力仅负责高时效性的图像预处理、特征提取和毫秒级缺陷检测，实现本地闭环决策，大幅降低带宽占用和云端Token消耗。云端算力不参与实时推理，仅承担复杂溯源、品质复盘任务调度高阶工业大模型推理。</w:t>
      </w:r>
    </w:p>
    <w:p w14:paraId="37A79151">
      <w:pPr>
        <w:ind w:firstLine="643"/>
        <w:rPr>
          <w:rFonts w:cs="Times New Roman"/>
          <w:kern w:val="0"/>
          <w:szCs w:val="27"/>
          <w14:ligatures w14:val="none"/>
        </w:rPr>
      </w:pPr>
      <w:r>
        <w:rPr>
          <w:rFonts w:hint="eastAsia" w:cs="Times New Roman"/>
          <w:b/>
          <w:bCs/>
          <w:kern w:val="0"/>
          <w:szCs w:val="27"/>
          <w14:ligatures w14:val="none"/>
        </w:rPr>
        <w:t>构建流量实时监测与弹性调度体系</w:t>
      </w:r>
      <w:r>
        <w:rPr>
          <w:rFonts w:hint="eastAsia" w:cs="Times New Roman"/>
          <w:kern w:val="0"/>
          <w:szCs w:val="27"/>
          <w14:ligatures w14:val="none"/>
        </w:rPr>
        <w:t>。一是打通产线缺陷告警与模型调用日志，依托Token流量监控预判批量缺陷算力尖峰，通过限流、任务缓冲分散瞬时负载，避免缺陷集中爆发时，视觉稳态算力叠加大模型突发算力，造成整体硬件负载溢出、检测超时。二是对在线实时检测任务收紧单次Token上限保障产线检测时延，对离线批量复盘任务开放合理上下文窗口，隔离高低负载推理任务，避免高Token批量任务长期占用算力，保障视觉检测硬件资源优先级。</w:t>
      </w:r>
    </w:p>
    <w:p w14:paraId="5F8BE04D">
      <w:pPr>
        <w:ind w:firstLine="643"/>
        <w:rPr>
          <w:rFonts w:cs="Times New Roman"/>
          <w:kern w:val="0"/>
          <w:szCs w:val="27"/>
          <w14:ligatures w14:val="none"/>
        </w:rPr>
      </w:pPr>
      <w:r>
        <w:rPr>
          <w:rFonts w:hint="eastAsia" w:cs="Times New Roman"/>
          <w:b/>
          <w:bCs/>
          <w:kern w:val="0"/>
          <w:szCs w:val="27"/>
          <w14:ligatures w14:val="none"/>
        </w:rPr>
        <w:t>落地基线Prompt缓存优化策略</w:t>
      </w:r>
      <w:r>
        <w:rPr>
          <w:rFonts w:hint="eastAsia" w:cs="Times New Roman"/>
          <w:kern w:val="0"/>
          <w:szCs w:val="27"/>
          <w14:ligatures w14:val="none"/>
        </w:rPr>
        <w:t>。一是对质检规范、缺陷判定标准、角色指令等静态系统提示词进行前缀缓存复用，持续降低大模型长期稳态算力消耗，释放硬件资源承载更多工位相机的视觉检测任务，提升整体算力设施利用率。二是精简场景上下文优化建设投入，摒弃适配多轮对话场景的复杂历史摘要、长上下文压缩方案，依托场景单次独立推理特性，将优化资源聚焦于单轮输入的数据精简治理。</w:t>
      </w:r>
    </w:p>
    <w:p w14:paraId="5063EC7C">
      <w:pPr>
        <w:pStyle w:val="4"/>
        <w:numPr>
          <w:ilvl w:val="0"/>
          <w:numId w:val="3"/>
        </w:numPr>
        <w:ind w:left="-3" w:firstLine="643" w:firstLineChars="0"/>
      </w:pPr>
      <w:bookmarkStart w:id="77" w:name="_Toc14595"/>
      <w:bookmarkStart w:id="78" w:name="_Toc31756"/>
      <w:r>
        <w:rPr>
          <w:rFonts w:hint="eastAsia"/>
        </w:rPr>
        <w:t>设备运行监控与维护</w:t>
      </w:r>
      <w:bookmarkEnd w:id="77"/>
      <w:bookmarkEnd w:id="78"/>
    </w:p>
    <w:p w14:paraId="626A5D45">
      <w:pPr>
        <w:ind w:firstLine="640"/>
        <w:rPr>
          <w:rFonts w:cs="Times New Roman"/>
          <w:kern w:val="0"/>
          <w:szCs w:val="27"/>
          <w14:ligatures w14:val="none"/>
        </w:rPr>
      </w:pPr>
      <w:r>
        <w:rPr>
          <w:rFonts w:hint="eastAsia" w:cs="Times New Roman"/>
          <w:kern w:val="0"/>
          <w:szCs w:val="27"/>
          <w14:ligatures w14:val="none"/>
        </w:rPr>
        <w:t>设备运行监控与维护场景中模型应用主要包括以下场景：一是构建维修知识库。采用RAG技术，将非结构化的设备手册、历史维修记录、SOP及历史工单进行矢量化处理，让用户通过自然语言快速查询维修知识库。二是设备异常诊断与维修辅助。结合实时工况数据、知识图谱等，精准定位故障根因并梳理出故障传播路径，给出故障类型和风险等级，同时联动历史案例库和专家经验，自动生成包含排故步骤与备件清单的成套维修方案。三是辅助生成结构化维修工单。根据现场人员的语音描述或简单文本输入，自动提取设备编号、故障代码、发生时间等关键要素，并结构化填入维修工单系统。</w:t>
      </w:r>
    </w:p>
    <w:p w14:paraId="0336C4BE">
      <w:pPr>
        <w:ind w:firstLine="643" w:firstLineChars="0"/>
        <w:rPr>
          <w:rFonts w:hint="eastAsia" w:cs="Times New Roman"/>
          <w:b/>
          <w:bCs/>
          <w:kern w:val="0"/>
          <w:szCs w:val="27"/>
          <w14:ligatures w14:val="none"/>
        </w:rPr>
      </w:pPr>
    </w:p>
    <w:p w14:paraId="43D674F5">
      <w:pPr>
        <w:ind w:firstLine="643" w:firstLineChars="0"/>
        <w:rPr>
          <w:rFonts w:hint="eastAsia" w:cs="Times New Roman"/>
          <w:b/>
          <w:bCs/>
          <w:kern w:val="0"/>
          <w:szCs w:val="27"/>
          <w14:ligatures w14:val="none"/>
        </w:rPr>
      </w:pPr>
    </w:p>
    <w:p w14:paraId="38116C2D">
      <w:pPr>
        <w:ind w:firstLine="643" w:firstLineChars="0"/>
        <w:rPr>
          <w:rFonts w:hint="eastAsia" w:ascii="Times New Roman" w:hAnsi="Times New Roman" w:eastAsia="方正仿宋_GBK" w:cs="宋体"/>
          <w:kern w:val="2"/>
          <w:sz w:val="32"/>
          <w:szCs w:val="24"/>
          <w:lang w:val="en-US" w:eastAsia="zh-CN" w:bidi="ar-SA"/>
          <w14:ligatures w14:val="standardContextual"/>
        </w:rPr>
      </w:pPr>
      <w:r>
        <w:rPr>
          <w:rFonts w:hint="eastAsia" w:cs="Times New Roman"/>
          <w:b/>
          <w:bCs/>
          <w:kern w:val="0"/>
          <w:szCs w:val="27"/>
          <w14:ligatures w14:val="none"/>
        </w:rPr>
        <w:t>（1）Token消耗特征</w:t>
      </w:r>
    </w:p>
    <w:p w14:paraId="4F32DC52">
      <w:pPr>
        <w:ind w:firstLine="643"/>
        <w:rPr>
          <w:rFonts w:cs="Times New Roman"/>
          <w:kern w:val="0"/>
          <w:szCs w:val="27"/>
          <w14:ligatures w14:val="none"/>
        </w:rPr>
      </w:pPr>
      <w:r>
        <w:rPr>
          <w:rFonts w:hint="eastAsia" w:cs="Times New Roman"/>
          <w:b/>
          <w:bCs/>
          <w:kern w:val="0"/>
          <w:szCs w:val="27"/>
          <w14:ligatures w14:val="none"/>
        </w:rPr>
        <w:t>一是输入端呈现长文本与冗余信息的刚性消耗。</w:t>
      </w:r>
      <w:r>
        <w:rPr>
          <w:rFonts w:hint="eastAsia" w:cs="Times New Roman"/>
          <w:kern w:val="0"/>
          <w:szCs w:val="27"/>
          <w14:ligatures w14:val="none"/>
        </w:rPr>
        <w:t>系统持续采集设备传感时序参数、实时运行日志、周期性巡检工单、设备基础台账，每条推理请求均附带设备编号、站点、采集时间、机型版本等固定静态标识文本；故障工单、巡检报告复用统一表头、标准化故障分类标签。无论常规状态监测还是故障诊断，重复标识文本全程拼接至上下文，形成无信息增益的固定Token开销。</w:t>
      </w:r>
    </w:p>
    <w:p w14:paraId="61663E88">
      <w:pPr>
        <w:ind w:firstLine="643"/>
        <w:rPr>
          <w:rFonts w:cs="Times New Roman"/>
          <w:kern w:val="0"/>
          <w:szCs w:val="27"/>
          <w14:ligatures w14:val="none"/>
        </w:rPr>
      </w:pPr>
      <w:r>
        <w:rPr>
          <w:rFonts w:hint="eastAsia" w:cs="Times New Roman"/>
          <w:b/>
          <w:bCs/>
          <w:kern w:val="0"/>
          <w:szCs w:val="27"/>
          <w14:ligatures w14:val="none"/>
        </w:rPr>
        <w:t>二是推理端呈现多步工具调用的链式级联消耗。</w:t>
      </w:r>
      <w:r>
        <w:rPr>
          <w:rFonts w:hint="eastAsia" w:cs="Times New Roman"/>
          <w:kern w:val="0"/>
          <w:szCs w:val="27"/>
          <w14:ligatures w14:val="none"/>
        </w:rPr>
        <w:t>模型为了精准定位故障根因，往往需要进行多步逻辑推理，并频繁触发外部工具调用。每一次工具的调用指令、返回结果，以及模型多轮思考的上下文累积，都会产生大量的Token消耗，还会导致系统的整体响应时间显著拉长。</w:t>
      </w:r>
    </w:p>
    <w:p w14:paraId="6BE5384A">
      <w:pPr>
        <w:ind w:firstLine="643"/>
        <w:rPr>
          <w:rFonts w:cs="Times New Roman"/>
          <w:kern w:val="0"/>
          <w:szCs w:val="27"/>
          <w14:ligatures w14:val="none"/>
        </w:rPr>
      </w:pPr>
      <w:r>
        <w:rPr>
          <w:rFonts w:hint="eastAsia" w:cs="Times New Roman"/>
          <w:b/>
          <w:bCs/>
          <w:kern w:val="0"/>
          <w:szCs w:val="27"/>
          <w14:ligatures w14:val="none"/>
        </w:rPr>
        <w:t>三是响应端倒逼Token的发散限制。</w:t>
      </w:r>
      <w:r>
        <w:rPr>
          <w:rFonts w:hint="eastAsia" w:cs="Times New Roman"/>
          <w:kern w:val="0"/>
          <w:szCs w:val="27"/>
          <w14:ligatures w14:val="none"/>
        </w:rPr>
        <w:t>在工业生产现场，设备响应速度往往比回答的完美度更重要。为了保障系统能秒级给出维修方案，Token管理必须在消耗与速度之间做出妥协。</w:t>
      </w:r>
    </w:p>
    <w:p w14:paraId="6A9873B8">
      <w:pPr>
        <w:ind w:firstLine="643" w:firstLineChars="0"/>
        <w:rPr>
          <w:rFonts w:cs="Times New Roman"/>
          <w:b/>
          <w:bCs/>
          <w:kern w:val="0"/>
          <w:szCs w:val="27"/>
          <w14:ligatures w14:val="none"/>
        </w:rPr>
      </w:pPr>
      <w:r>
        <w:rPr>
          <w:rFonts w:hint="eastAsia" w:cs="Times New Roman"/>
          <w:b/>
          <w:bCs/>
          <w:kern w:val="0"/>
          <w:szCs w:val="27"/>
          <w14:ligatures w14:val="none"/>
        </w:rPr>
        <w:t>（2）Token管理侧重点</w:t>
      </w:r>
    </w:p>
    <w:p w14:paraId="09EA3F8D">
      <w:pPr>
        <w:ind w:firstLine="643"/>
        <w:rPr>
          <w:rFonts w:cs="Times New Roman"/>
          <w:kern w:val="0"/>
          <w:szCs w:val="27"/>
          <w14:ligatures w14:val="none"/>
        </w:rPr>
      </w:pPr>
      <w:r>
        <w:rPr>
          <w:rFonts w:hint="eastAsia" w:cs="Times New Roman"/>
          <w:b/>
          <w:bCs/>
          <w:kern w:val="0"/>
          <w:szCs w:val="27"/>
          <w14:ligatures w14:val="none"/>
        </w:rPr>
        <w:t>降低输入端Token消耗。一是</w:t>
      </w:r>
      <w:r>
        <w:rPr>
          <w:rFonts w:hint="eastAsia" w:cs="Times New Roman"/>
          <w:kern w:val="0"/>
          <w:szCs w:val="27"/>
          <w14:ligatures w14:val="none"/>
        </w:rPr>
        <w:t>在RAG环节，严禁盲目追求召回数量，应引入动态上下文窗口管理与重排序技术，精准截取与当前故障最相关的文本片段，坚决剔除无关背景，以控制输入Token的上限，从而保障系统的首字响应速度。二</w:t>
      </w:r>
      <w:r>
        <w:rPr>
          <w:rFonts w:hint="eastAsia" w:cs="Times New Roman"/>
          <w:b/>
          <w:bCs/>
          <w:kern w:val="0"/>
          <w:szCs w:val="27"/>
          <w14:ligatures w14:val="none"/>
        </w:rPr>
        <w:t>是</w:t>
      </w:r>
      <w:r>
        <w:rPr>
          <w:rFonts w:hint="eastAsia" w:cs="Times New Roman"/>
          <w:kern w:val="0"/>
          <w:szCs w:val="27"/>
          <w14:ligatures w14:val="none"/>
        </w:rPr>
        <w:t>针对工业专有名词、设备型号在通用词表中被切碎导致Token膨胀的问题，需对模型进行词表扩充或微调，提升专业术语的Token化效率，从源头上降低无效消耗。</w:t>
      </w:r>
    </w:p>
    <w:p w14:paraId="3C0F829B">
      <w:pPr>
        <w:ind w:firstLine="643"/>
        <w:rPr>
          <w:rFonts w:cs="Times New Roman"/>
          <w:kern w:val="0"/>
          <w:szCs w:val="27"/>
          <w14:ligatures w14:val="none"/>
        </w:rPr>
      </w:pPr>
      <w:r>
        <w:rPr>
          <w:rFonts w:hint="eastAsia" w:cs="Times New Roman"/>
          <w:b/>
          <w:bCs/>
          <w:kern w:val="0"/>
          <w:szCs w:val="27"/>
          <w14:ligatures w14:val="none"/>
        </w:rPr>
        <w:t>保证推理Token响应速度</w:t>
      </w:r>
      <w:r>
        <w:rPr>
          <w:rFonts w:hint="eastAsia" w:cs="Times New Roman"/>
          <w:kern w:val="0"/>
          <w:szCs w:val="27"/>
          <w14:ligatures w14:val="none"/>
        </w:rPr>
        <w:t>。</w:t>
      </w:r>
      <w:r>
        <w:rPr>
          <w:rFonts w:hint="eastAsia" w:cs="Times New Roman"/>
          <w:b/>
          <w:bCs/>
          <w:kern w:val="0"/>
          <w:szCs w:val="27"/>
          <w14:ligatures w14:val="none"/>
        </w:rPr>
        <w:t>一是</w:t>
      </w:r>
      <w:r>
        <w:rPr>
          <w:rFonts w:hint="eastAsia" w:cs="Times New Roman"/>
          <w:kern w:val="0"/>
          <w:szCs w:val="27"/>
          <w14:ligatures w14:val="none"/>
        </w:rPr>
        <w:t>对于工单信息抽取、日志摘要等高频轻量级任务，应采用本地部署的轻量级小模型处理，降低Token消耗且提高响应速度，仅在面对复杂的长尾故障诊断和跨设备逻辑推理时才调用云端大模型。同时，采用边缘侧传统算法或专用小模型提取特征并转化为文本数据再输入大模型，降低多模态Token的融合成本与算力瓶颈。</w:t>
      </w:r>
      <w:r>
        <w:rPr>
          <w:rFonts w:hint="eastAsia" w:cs="Times New Roman"/>
          <w:b/>
          <w:bCs/>
          <w:kern w:val="0"/>
          <w:szCs w:val="27"/>
          <w14:ligatures w14:val="none"/>
        </w:rPr>
        <w:t>二是</w:t>
      </w:r>
      <w:r>
        <w:rPr>
          <w:rFonts w:hint="eastAsia" w:cs="Times New Roman"/>
          <w:kern w:val="0"/>
          <w:szCs w:val="27"/>
          <w14:ligatures w14:val="none"/>
        </w:rPr>
        <w:t>进行思维链约束，通过系统提示词或外挂规则引擎，强制模型按照“现象—排查点—根因”的固定短链路输出，限制后台推理Token的隐性消耗。同时，优化外部工具调用的Token流转机制，采用多工具并发调用策略，减少“生成—等待—再生成”的串行交互轮次，从而降低多步推理带来的Token指数级膨胀与响应延迟。</w:t>
      </w:r>
    </w:p>
    <w:p w14:paraId="6168F526">
      <w:pPr>
        <w:ind w:firstLine="643"/>
        <w:rPr>
          <w:rFonts w:cs="Times New Roman"/>
          <w:kern w:val="0"/>
          <w:szCs w:val="27"/>
          <w14:ligatures w14:val="none"/>
        </w:rPr>
      </w:pPr>
      <w:r>
        <w:rPr>
          <w:rFonts w:hint="eastAsia" w:cs="Times New Roman"/>
          <w:b/>
          <w:bCs/>
          <w:kern w:val="0"/>
          <w:szCs w:val="27"/>
          <w14:ligatures w14:val="none"/>
        </w:rPr>
        <w:t>优化算力资源调度</w:t>
      </w:r>
      <w:r>
        <w:rPr>
          <w:rFonts w:hint="eastAsia" w:cs="Times New Roman"/>
          <w:kern w:val="0"/>
          <w:szCs w:val="27"/>
          <w14:ligatures w14:val="none"/>
        </w:rPr>
        <w:t>。</w:t>
      </w:r>
      <w:r>
        <w:rPr>
          <w:rFonts w:hint="eastAsia" w:cs="Times New Roman"/>
          <w:b/>
          <w:bCs/>
          <w:kern w:val="0"/>
          <w:szCs w:val="27"/>
          <w14:ligatures w14:val="none"/>
        </w:rPr>
        <w:t>一是</w:t>
      </w:r>
      <w:r>
        <w:rPr>
          <w:rFonts w:hint="eastAsia" w:cs="Times New Roman"/>
          <w:kern w:val="0"/>
          <w:szCs w:val="27"/>
          <w14:ligatures w14:val="none"/>
        </w:rPr>
        <w:t>设定场景分层的精细化配额管控，对于设备异常诊断等核心刚性业务，分配高额度配额，实施软限流与用量审计；对于辅助生成工单等通用办公场景，设置固定日额度或多级阈值告警，在配额接近上限时自动降级至轻量级替代模型，保障基础功能可用。同时，支持闲时额度复用与动态升降额度，以应对突发状况。二</w:t>
      </w:r>
      <w:r>
        <w:rPr>
          <w:rFonts w:hint="eastAsia" w:cs="Times New Roman"/>
          <w:b/>
          <w:bCs/>
          <w:kern w:val="0"/>
          <w:szCs w:val="27"/>
          <w14:ligatures w14:val="none"/>
        </w:rPr>
        <w:t>是</w:t>
      </w:r>
      <w:r>
        <w:rPr>
          <w:rFonts w:hint="eastAsia" w:cs="Times New Roman"/>
          <w:kern w:val="0"/>
          <w:szCs w:val="27"/>
          <w14:ligatures w14:val="none"/>
        </w:rPr>
        <w:t>建立故障诊断绝对优先的并发机制，设备停机诊断与重大安全预警自动启用专属Token池且全程不限流，常规巡检与语音查询在高峰时段排队缓冲，历史台账回溯等低优先级任务在负载超标时自动挂起，确保核心生产业务的绝对资源保障。</w:t>
      </w:r>
    </w:p>
    <w:p w14:paraId="12710FFA">
      <w:pPr>
        <w:ind w:firstLine="640"/>
        <w:rPr>
          <w:rFonts w:cs="Times New Roman"/>
          <w:kern w:val="0"/>
          <w:szCs w:val="27"/>
          <w14:ligatures w14:val="none"/>
        </w:rPr>
      </w:pPr>
    </w:p>
    <w:p w14:paraId="4C0E7195">
      <w:pPr>
        <w:ind w:firstLine="640"/>
        <w:rPr>
          <w:rFonts w:cs="Times New Roman"/>
          <w:kern w:val="0"/>
          <w:szCs w:val="27"/>
          <w14:ligatures w14:val="none"/>
        </w:rPr>
      </w:pPr>
    </w:p>
    <w:p w14:paraId="7A94E975">
      <w:pPr>
        <w:pStyle w:val="4"/>
        <w:numPr>
          <w:ilvl w:val="0"/>
          <w:numId w:val="3"/>
        </w:numPr>
        <w:ind w:left="0" w:firstLine="643"/>
      </w:pPr>
      <w:bookmarkStart w:id="79" w:name="_Toc26933"/>
      <w:bookmarkStart w:id="80" w:name="_Toc27705"/>
      <w:r>
        <w:rPr>
          <w:rFonts w:hint="eastAsia"/>
        </w:rPr>
        <w:t>危险作业自动化</w:t>
      </w:r>
      <w:bookmarkEnd w:id="79"/>
      <w:bookmarkEnd w:id="80"/>
    </w:p>
    <w:p w14:paraId="2DB677D5">
      <w:pPr>
        <w:ind w:firstLine="640"/>
      </w:pPr>
      <w:r>
        <w:rPr>
          <w:rFonts w:hint="eastAsia"/>
        </w:rPr>
        <w:t>危险作业自动化模型应用主要包括以下场景：一是高危场景的“机器换人”。在高空与密闭空间的作业场景，专业级具身智能特种机器人可替代人工完成部分危险作业；在危险环境巡检与处置场景，地面特种巡检操作机器人可替代人工完成巡检和处置，配合系统实现远距离故障监测与预警。二是全域智能感知与主动防御管控。在复杂工况下，定制开发的AI识别模型通过摄像头、传感器、热成像等数据，能够克服雨天干扰、复杂背景等难题，对火灾、气体泄漏、人员违章等核心隐患的识别准确率达95%以上，实现秒级响应与自动推送。</w:t>
      </w:r>
    </w:p>
    <w:p w14:paraId="05BFA714">
      <w:pPr>
        <w:ind w:firstLine="643"/>
        <w:rPr>
          <w:b/>
          <w:bCs/>
        </w:rPr>
      </w:pPr>
      <w:r>
        <w:rPr>
          <w:rFonts w:hint="eastAsia"/>
          <w:b/>
          <w:bCs/>
        </w:rPr>
        <w:t>（1）Token消耗特征</w:t>
      </w:r>
    </w:p>
    <w:p w14:paraId="02913BA7">
      <w:pPr>
        <w:ind w:firstLine="643"/>
      </w:pPr>
      <w:r>
        <w:rPr>
          <w:rFonts w:hint="eastAsia"/>
          <w:b/>
          <w:bCs/>
        </w:rPr>
        <w:t>一是海量视觉Token化与跨模态对齐的刚性消耗大。</w:t>
      </w:r>
      <w:r>
        <w:rPr>
          <w:rFonts w:hint="eastAsia"/>
        </w:rPr>
        <w:t>监控视频流须被切分为庞大的视觉Token输入给大模型，会产生大量的基础算力消耗。同时，为了实现精准研判，系统还需将视觉特征Token与现场的温湿度、设备参数等文本Token进行拼接融合。这种跨模态数据的对齐与联合输入，构成了Token消耗的基础底座。</w:t>
      </w:r>
    </w:p>
    <w:p w14:paraId="3C7C236B">
      <w:pPr>
        <w:ind w:firstLine="643"/>
      </w:pPr>
      <w:r>
        <w:rPr>
          <w:rFonts w:hint="eastAsia"/>
          <w:b/>
          <w:bCs/>
        </w:rPr>
        <w:t>二是常态低频与突发脉冲激增的弹性Token消耗特征</w:t>
      </w:r>
      <w:r>
        <w:rPr>
          <w:rFonts w:hint="eastAsia"/>
        </w:rPr>
        <w:t>。在全域智能感知场景中，系统需7×24小时不间断运行，但常态下由边缘侧传统视觉小模型负责过滤，仅将疑似异常推送给大模型进行二次复核，Token消耗维持在极低水平。然而，一旦发生突发险情，系统会瞬间提高大模型的分析频率与并发量以锁定风险，导致Token消耗出现脉冲式激增。</w:t>
      </w:r>
    </w:p>
    <w:p w14:paraId="0989FC8D">
      <w:pPr>
        <w:ind w:firstLine="643"/>
        <w:rPr>
          <w:b/>
          <w:bCs/>
        </w:rPr>
      </w:pPr>
      <w:r>
        <w:rPr>
          <w:rFonts w:hint="eastAsia"/>
          <w:b/>
          <w:bCs/>
        </w:rPr>
        <w:t>（2）Token管理侧重点</w:t>
      </w:r>
    </w:p>
    <w:p w14:paraId="01E64B6D">
      <w:pPr>
        <w:ind w:firstLine="643"/>
      </w:pPr>
      <w:r>
        <w:rPr>
          <w:rFonts w:hint="eastAsia"/>
          <w:b/>
          <w:bCs/>
        </w:rPr>
        <w:t>实施Token压缩与多模态特征前置提取。</w:t>
      </w:r>
      <w:r>
        <w:rPr>
          <w:rFonts w:hint="eastAsia"/>
        </w:rPr>
        <w:t>采用视觉Token量化与动态分辨率技术，对非核心背景区域进行大幅降采样，仅保留关键作业区或隐患区的高分辨率Token。坚决避免将原始视频流直接喂给大模型，采用传统CV算法前置提取特征、大模型后处理的策略，将高耗能的图像Token转化为低耗能的文本特征描述，切断无效的多模态对齐消耗。</w:t>
      </w:r>
    </w:p>
    <w:p w14:paraId="44F0BBA8">
      <w:pPr>
        <w:ind w:firstLine="643"/>
      </w:pPr>
      <w:r>
        <w:rPr>
          <w:rFonts w:hint="eastAsia"/>
          <w:b/>
          <w:bCs/>
        </w:rPr>
        <w:t>设置算力弹性阈值调度与配额</w:t>
      </w:r>
      <w:r>
        <w:rPr>
          <w:rFonts w:hint="eastAsia"/>
        </w:rPr>
        <w:t>。在常态巡检下，严格执行基于画面变化率的动态降频策略，将常态Token消耗降至最低；当系统捕捉到火灾、泄漏等突发异常时，自动触发弹性阈值调度，提升分析帧率并临时上调Token配额上限，确保在关键风险时刻拥有充足的算力与Token资源进行精准研判，实现成本与安全性的平衡。</w:t>
      </w:r>
    </w:p>
    <w:p w14:paraId="6404C9C6">
      <w:pPr>
        <w:ind w:firstLine="643"/>
      </w:pPr>
      <w:r>
        <w:rPr>
          <w:rFonts w:hint="eastAsia"/>
          <w:b/>
          <w:bCs/>
        </w:rPr>
        <w:t>限制思维链推理路径</w:t>
      </w:r>
      <w:r>
        <w:rPr>
          <w:rFonts w:hint="eastAsia"/>
        </w:rPr>
        <w:t>。在具身智能任务中，通过系统提示词或外挂规则引擎，强制模型按照“感知—决策—动作”的固定短链路输出，限制其进行长篇大论的发散推理。</w:t>
      </w:r>
    </w:p>
    <w:p w14:paraId="0700400B">
      <w:pPr>
        <w:pStyle w:val="4"/>
        <w:numPr>
          <w:ilvl w:val="0"/>
          <w:numId w:val="3"/>
        </w:numPr>
        <w:ind w:left="-3" w:firstLine="643" w:firstLineChars="0"/>
      </w:pPr>
      <w:bookmarkStart w:id="81" w:name="_Toc5758"/>
      <w:bookmarkStart w:id="82" w:name="_Toc5142"/>
      <w:r>
        <w:rPr>
          <w:rFonts w:hint="eastAsia"/>
        </w:rPr>
        <w:t>安全一体化管控</w:t>
      </w:r>
      <w:bookmarkEnd w:id="81"/>
      <w:bookmarkEnd w:id="82"/>
    </w:p>
    <w:p w14:paraId="3E4538A7">
      <w:pPr>
        <w:ind w:firstLine="640"/>
      </w:pPr>
      <w:r>
        <w:rPr>
          <w:rFonts w:hint="eastAsia"/>
        </w:rPr>
        <w:t>安全一体化管控模型应用主要包括以下场景：一是全域智能监管。借助计算机视觉模型与AI视频分析技术，系统能够自动识别未戴安全帽、未穿防护服、违规闯入禁区、违规动火等不安全行为。捕捉到违章动作后，通过抓拍存档并触发分级预警，将传统的事后追责转变为事前制止。二是安全风险识别。大模型同时接收并理解来自视觉AI、物联网传感器以及生产系统日志的异构数据，通过自然语言理解和逻辑推理能力识别工控监测、安全告警、事故应急等业务风险。</w:t>
      </w:r>
    </w:p>
    <w:p w14:paraId="0505C7AC">
      <w:pPr>
        <w:ind w:firstLine="643"/>
        <w:rPr>
          <w:b/>
          <w:bCs/>
        </w:rPr>
      </w:pPr>
      <w:r>
        <w:rPr>
          <w:rFonts w:hint="eastAsia"/>
          <w:b/>
          <w:bCs/>
        </w:rPr>
        <w:t>（1）Token消耗特征</w:t>
      </w:r>
    </w:p>
    <w:p w14:paraId="3D1F6B1B">
      <w:pPr>
        <w:ind w:firstLine="643"/>
      </w:pPr>
      <w:r>
        <w:rPr>
          <w:rFonts w:hint="eastAsia"/>
          <w:b/>
          <w:bCs/>
        </w:rPr>
        <w:t>一是Token消耗呈现持续性与突发脉冲并存特点</w:t>
      </w:r>
      <w:r>
        <w:rPr>
          <w:rFonts w:hint="eastAsia"/>
        </w:rPr>
        <w:t>。在实际工程中，通常由边缘侧的传统视觉小模型负责视频流的全天候实时识别，并将识别结果转化为结构化的告警文本Token，再推送到云端大模型进行二次研判与逻辑过滤。尽管常态下系统会进行抽帧或过滤，但在突发事件或违规高发期，告警文本的并发推送会导致Token消耗出现脉冲式激增。尤其是工控故障处置、泄漏事故应急等紧急高危场景突发瞬时高消耗，且不可压缩、不可排队，拥有资源抢占优先权。</w:t>
      </w:r>
    </w:p>
    <w:p w14:paraId="04EA5D4D">
      <w:pPr>
        <w:ind w:firstLine="643"/>
      </w:pPr>
      <w:r>
        <w:rPr>
          <w:rFonts w:hint="eastAsia"/>
          <w:b/>
          <w:bCs/>
        </w:rPr>
        <w:t>二是推理Token消耗受准确性与响应速度的双重刚性约束。</w:t>
      </w:r>
      <w:r>
        <w:rPr>
          <w:rFonts w:hint="eastAsia"/>
        </w:rPr>
        <w:t>一方面，为了确保研判绝对准确，输入端不能过度删减关键传感器特征、工控状态参数，否则模型无法精准识别故障；输出端必须携带完整风险判定、设备控制指令，无法大幅精简，模型思维链长，推理Token将产生刚性膨胀；另一方面，为了满足极致的响应速度要求，系统必须严格限制Token的生成总长度与发散推理，确保首字响应。</w:t>
      </w:r>
    </w:p>
    <w:p w14:paraId="1B72865C">
      <w:pPr>
        <w:ind w:firstLine="643"/>
      </w:pPr>
      <w:r>
        <w:rPr>
          <w:rFonts w:hint="eastAsia"/>
          <w:b/>
          <w:bCs/>
        </w:rPr>
        <w:t>三是Token消耗与安全风险强绑定</w:t>
      </w:r>
      <w:r>
        <w:rPr>
          <w:rFonts w:hint="eastAsia"/>
        </w:rPr>
        <w:t>。单业务Token消耗突增数倍，可能存在批量读取涉密工艺、持续扫描设备隐患；非工作时段突发大量Token推理，可能越权访问、数据窃取风险；普通业务长期超额消耗，持续挤占应急算力，可能存在工控瘫痪隐患。可依托Token消耗指标做实时风险识别，同步触发审计告警、配额冻结动作。</w:t>
      </w:r>
    </w:p>
    <w:p w14:paraId="17EF403F">
      <w:pPr>
        <w:ind w:firstLine="643"/>
        <w:rPr>
          <w:b/>
          <w:bCs/>
        </w:rPr>
      </w:pPr>
      <w:r>
        <w:rPr>
          <w:rFonts w:hint="eastAsia"/>
          <w:b/>
          <w:bCs/>
        </w:rPr>
        <w:t>（2）Token管理侧重点</w:t>
      </w:r>
    </w:p>
    <w:p w14:paraId="671872AF">
      <w:pPr>
        <w:ind w:firstLine="643"/>
      </w:pPr>
      <w:r>
        <w:rPr>
          <w:rFonts w:hint="eastAsia"/>
          <w:b/>
          <w:bCs/>
        </w:rPr>
        <w:t>区分场景实施差异化Token压缩策略。</w:t>
      </w:r>
      <w:r>
        <w:rPr>
          <w:rFonts w:hint="eastAsia"/>
        </w:rPr>
        <w:t>工控、涉密工艺一票否决场景仅允许对视频、传感器原始数据做特征级轻量化编码压缩，不得删减故障判定必需关键参数，保障研判准确性；普通业务可全面精简Prompt、截断长文本、复用语义缓存，最大限度压降无效Token；在系统提示词中，强制模型按照“现象—风险定性—动作指令”的固定短链路输出，限制其进行长篇大论的发散推理，通过语法约束锁定输出格式，减少格式报错重试产生的冗余消耗。</w:t>
      </w:r>
    </w:p>
    <w:p w14:paraId="37526115">
      <w:pPr>
        <w:ind w:firstLine="643"/>
        <w:rPr>
          <w:b/>
          <w:bCs/>
        </w:rPr>
      </w:pPr>
      <w:r>
        <w:rPr>
          <w:rFonts w:hint="eastAsia"/>
          <w:b/>
          <w:bCs/>
        </w:rPr>
        <w:t>按业务安全分级差异化分配配额。</w:t>
      </w:r>
      <w:r>
        <w:rPr>
          <w:rFonts w:hint="eastAsia"/>
        </w:rPr>
        <w:t>设置“紧急级绝对优先、重要级动态保障、一般级自动让路”的算力抢占规则。对工控故障处置、工艺泄密应急等紧急高危场景划分独立物理隔离Token算力池，额度优先保障，不与普通业务共享调剂；日常高危巡检、安全告警研判等重要安全业务配置固定基础配额，预留适度缓冲余量；办公、非生产辅助类普通业务设置低基础额度、强频次限制，资源紧张时主动退让。另外，设置80%预警、90%限流、100%熔断的三级配额阈值，低优先级业务率先熔断，避免资源枯竭引发工控瘫痪、工艺泄密。熔断、限流动作自动留存操作记录，将消耗异常线索同步推送审计模块，实现消耗监控与风险处置联动。</w:t>
      </w:r>
    </w:p>
    <w:p w14:paraId="294CA812">
      <w:pPr>
        <w:numPr>
          <w:ilvl w:val="255"/>
          <w:numId w:val="0"/>
        </w:numPr>
        <w:ind w:firstLine="643"/>
      </w:pPr>
      <w:r>
        <w:rPr>
          <w:rFonts w:hint="eastAsia"/>
          <w:b/>
          <w:bCs/>
        </w:rPr>
        <w:t>搭建应急资源预热与峰值缓冲机制。</w:t>
      </w:r>
      <w:r>
        <w:rPr>
          <w:rFonts w:hint="eastAsia"/>
        </w:rPr>
        <w:t>设定日常应急Token池，定期开展模拟演练验证峰值并发下的调度有效性；对大模型推理服务配置预热策略，保持应急模型副本待命，压缩冷启动时间，确保真实事故状态下即时响应。对安全类请求开启短时流量缓冲队列，防止瞬时并发直接击穿算力阈值，同步搭配分级熔断保护核心安全业务。</w:t>
      </w:r>
    </w:p>
    <w:p w14:paraId="2CBC51AC">
      <w:pPr>
        <w:pStyle w:val="3"/>
        <w:numPr>
          <w:ilvl w:val="0"/>
          <w:numId w:val="4"/>
        </w:numPr>
      </w:pPr>
      <w:bookmarkStart w:id="83" w:name="_Toc29252"/>
      <w:bookmarkStart w:id="84" w:name="_Toc16376"/>
      <w:r>
        <w:rPr>
          <w:rFonts w:hint="eastAsia"/>
        </w:rPr>
        <w:t>经营优化类</w:t>
      </w:r>
      <w:bookmarkEnd w:id="83"/>
      <w:bookmarkEnd w:id="84"/>
    </w:p>
    <w:p w14:paraId="1CB46F39">
      <w:pPr>
        <w:ind w:left="220" w:firstLine="640"/>
      </w:pPr>
      <w:r>
        <w:rPr>
          <w:rFonts w:hint="eastAsia"/>
        </w:rPr>
        <w:t>经营优化类场景指以数据分析、决策支持、经营洞察为主要目的的模型调用模式，此类场景的调用结果影响企业运营效率与经营成本，但不会直接导致产线停摆或生产中断，对实时性与可用性的要求相对核心生产场景有所降低。管理侧重点在于在预算总量可控的前提下根据任务优先级与紧急程度弹性分配算力资源，实现经营优化效能与资源成本的平衡。</w:t>
      </w:r>
    </w:p>
    <w:p w14:paraId="0515D7E4">
      <w:pPr>
        <w:pStyle w:val="4"/>
        <w:numPr>
          <w:ilvl w:val="0"/>
          <w:numId w:val="3"/>
        </w:numPr>
        <w:ind w:left="-3" w:firstLine="643" w:firstLineChars="0"/>
      </w:pPr>
      <w:bookmarkStart w:id="85" w:name="_Toc22934"/>
      <w:bookmarkStart w:id="86" w:name="_Toc11960"/>
      <w:r>
        <w:t>工艺动态优化</w:t>
      </w:r>
      <w:r>
        <w:rPr>
          <w:rFonts w:hint="eastAsia"/>
        </w:rPr>
        <w:t>（离线模式）</w:t>
      </w:r>
      <w:bookmarkEnd w:id="85"/>
      <w:bookmarkEnd w:id="86"/>
    </w:p>
    <w:p w14:paraId="76EF56A2">
      <w:pPr>
        <w:ind w:firstLine="640"/>
      </w:pPr>
      <w:r>
        <w:rPr>
          <w:rFonts w:hint="eastAsia"/>
        </w:rPr>
        <w:t>工艺动态优化（离线模式）指模型不直接接入设备控制环路，其输出的工艺调整建议不自动下发控制器，而是推送至工艺工程师由人工审核确认后执行，推理链路与物理控制链路相互解耦。该模式下，模型中断仅影响分析报告时效，产线仍按既有参数稳定运行，影响范围限于经营效率而非生产连续性，因此适用动态配额、按量付费的管控策略。</w:t>
      </w:r>
    </w:p>
    <w:p w14:paraId="7462A60A">
      <w:pPr>
        <w:ind w:firstLine="640"/>
      </w:pPr>
      <w:r>
        <w:rPr>
          <w:rFonts w:hint="eastAsia"/>
        </w:rPr>
        <w:t>工艺动态优化（离线模式）</w:t>
      </w:r>
      <w:r>
        <w:rPr>
          <w:rFonts w:hint="eastAsia"/>
          <w:color w:val="000000" w:themeColor="text1"/>
          <w14:textFill>
            <w14:solidFill>
              <w14:schemeClr w14:val="tx1"/>
            </w14:solidFill>
          </w14:textFill>
        </w:rPr>
        <w:t>模型应用主要包括以下场景</w:t>
      </w:r>
      <w:r>
        <w:rPr>
          <w:color w:val="000000" w:themeColor="text1"/>
          <w14:textFill>
            <w14:solidFill>
              <w14:schemeClr w14:val="tx1"/>
            </w14:solidFill>
          </w14:textFill>
        </w:rPr>
        <w:t>：</w:t>
      </w:r>
      <w:r>
        <w:rPr>
          <w:rFonts w:hint="eastAsia"/>
        </w:rPr>
        <w:t>一是工艺参数在线监测与统计过程分析。模型以生产批次或班次为周期，采集温度、压力、转速等关键工艺参数的历史曲线，计算过程能力指数与参数漂移趋势，生成工艺稳定性分析报告与优化建议，替代人工抄表统计与经验判断。二是工艺配方与工艺路线的方案寻优。导入新产品或开展降本增效专项时，模型基于历史工艺数据与成本约束，在工艺可行域内搜索兼顾质量、效率与物料消耗的最优参数组合，输出多方案对比供工艺评审会决策。三是工艺知识沉淀与跨产线复用。模型对企业积累的工艺调试记录与最优参数库进行结构化整理与语义索引，在新产线调试或相似产品导入时自动推荐可复用的工艺方案，缩短工艺摸索周期。</w:t>
      </w:r>
    </w:p>
    <w:p w14:paraId="29F7F614">
      <w:pPr>
        <w:ind w:firstLine="643"/>
      </w:pPr>
      <w:r>
        <w:rPr>
          <w:rFonts w:hint="eastAsia"/>
          <w:b/>
          <w:bCs/>
        </w:rPr>
        <w:t>（1）Token消耗特征</w:t>
      </w:r>
    </w:p>
    <w:p w14:paraId="3CA5FC9B">
      <w:pPr>
        <w:ind w:firstLine="643"/>
      </w:pPr>
      <w:r>
        <w:rPr>
          <w:rFonts w:hint="eastAsia"/>
          <w:b/>
          <w:bCs/>
        </w:rPr>
        <w:t>一是分析推理复杂度中等，单次任务Token消耗可控但不可忽视。</w:t>
      </w:r>
      <w:r>
        <w:rPr>
          <w:rFonts w:hint="eastAsia"/>
        </w:rPr>
        <w:t>与设备实时控制类场景的高频轻量交互不同，离线模式下的工艺动态优化属于经营分析型任务，调用模式以工艺数据汇总分析、多方案对比推演、工艺知识检索合成为主。单次任务的推理过程涉及历史数据统计、多约束条件校验与方案综合评估，Token消耗量显著高于单轮查询但远低于ReAct多轮迭代场景，整体消耗处于中等水平且可通过任务复杂度预判大致范围。</w:t>
      </w:r>
    </w:p>
    <w:p w14:paraId="11E5D819">
      <w:pPr>
        <w:ind w:firstLine="643"/>
      </w:pPr>
      <w:r>
        <w:rPr>
          <w:rFonts w:hint="eastAsia"/>
          <w:b/>
          <w:bCs/>
        </w:rPr>
        <w:t>二是调用频率与经营分析节拍强相关，呈周期性集中特征。</w:t>
      </w:r>
      <w:r>
        <w:rPr>
          <w:rFonts w:hint="eastAsia"/>
        </w:rPr>
        <w:t>工艺优化任务通常在质量周会、月度工艺评审、新产品导入节点、降本增效专项启动等经营决策节点集中触发，调用频率以周或月为单位，不存在持续高频的稳态调用基线。日常仅有少量工艺参数趋势查询或工艺知识检索请求，Token消耗总量在经营分析节点出现阶段性峰值，其余时段维持在较低水平。</w:t>
      </w:r>
    </w:p>
    <w:p w14:paraId="11CD13E3">
      <w:pPr>
        <w:ind w:firstLine="643"/>
      </w:pPr>
      <w:r>
        <w:rPr>
          <w:rFonts w:hint="eastAsia"/>
          <w:b/>
          <w:bCs/>
        </w:rPr>
        <w:t>三是长周期、非实时特性决定延迟容忍度较高。</w:t>
      </w:r>
      <w:r>
        <w:rPr>
          <w:rFonts w:hint="eastAsia"/>
        </w:rPr>
        <w:t>离线模式下模型输出不直接驱动设备动作，通常用于工艺评审会议或工程师分析参考，对响应延迟的容忍度显著高于生产控制类场景，模型推理可在秒级乃至分钟级完成而不影响业务连续性，为Token资源的弹性调度与成本优化提供了空间。</w:t>
      </w:r>
    </w:p>
    <w:p w14:paraId="412AAF95">
      <w:pPr>
        <w:ind w:firstLine="643"/>
        <w:rPr>
          <w:b/>
          <w:bCs/>
        </w:rPr>
      </w:pPr>
      <w:r>
        <w:rPr>
          <w:rFonts w:hint="eastAsia"/>
          <w:b/>
          <w:bCs/>
        </w:rPr>
        <w:t>（2）Token管理侧重点</w:t>
      </w:r>
    </w:p>
    <w:p w14:paraId="00E8647B">
      <w:pPr>
        <w:ind w:firstLine="643"/>
      </w:pPr>
      <w:r>
        <w:rPr>
          <w:rFonts w:hint="eastAsia"/>
          <w:b/>
          <w:bCs/>
        </w:rPr>
        <w:t>建立动态配额与按需弹性供给机制。</w:t>
      </w:r>
      <w:r>
        <w:rPr>
          <w:rFonts w:hint="eastAsia"/>
        </w:rPr>
        <w:t>一是离线模式下的工艺动态优化采用动态配额模式，日常基线配额仅需覆盖工艺知识检索与参数趋势查询等低频轻量调用，避免按峰值需求固定预留造成资源闲置浪费。二是在质量月会、工艺评审、新产品导入等经营分析节点前，根据排程计划提前预判Token需求峰值，动态上调配额上限并按实际用量结算，峰值结束后自动回落至基线水平，实现资源供给与经营节拍的弹性匹配，兼顾决策时效与Token成本可控。</w:t>
      </w:r>
    </w:p>
    <w:p w14:paraId="766ED61B">
      <w:pPr>
        <w:ind w:firstLine="643"/>
      </w:pPr>
      <w:r>
        <w:rPr>
          <w:rFonts w:hint="eastAsia"/>
          <w:b/>
          <w:bCs/>
        </w:rPr>
        <w:t>实施分析任务的分级调度与预算上限管控。</w:t>
      </w:r>
      <w:r>
        <w:rPr>
          <w:rFonts w:hint="eastAsia"/>
        </w:rPr>
        <w:t>一是将工艺优化任务按复杂度与紧急程度分级。工艺参数趋势查询为轻量级即时响应任务；工艺稳定性分析与报告生成为标准分析任务，分配中等Token预算；多目标工艺方案寻优为复杂推演任务，分配较高Token预算并设定最大推理轮数与输出长度上限。各级任务按预算额度执行，超限自动截断并返回当前最优结果，防止单次复杂推演过度消耗Token配额。二是对多方案对比分析类任务，采用“粗筛+精选”的两阶段推理策略，第一阶段以低Token消耗快速筛选可行方案范围，第二阶段仅对入围方案进行深度评估，避免对所有候选方案均执行全量推理。</w:t>
      </w:r>
    </w:p>
    <w:p w14:paraId="25DF3A13">
      <w:pPr>
        <w:ind w:firstLine="643"/>
      </w:pPr>
      <w:r>
        <w:rPr>
          <w:rFonts w:hint="eastAsia"/>
          <w:b/>
          <w:bCs/>
        </w:rPr>
        <w:t>推行工艺知识预处理与结果缓存复用。</w:t>
      </w:r>
      <w:r>
        <w:rPr>
          <w:rFonts w:hint="eastAsia"/>
        </w:rPr>
        <w:t>一是将历史工艺调试记录、异常处置案例、最优参数库等工艺知识，在非推理时段通过离线批处理完成结构化整理与向量化索引，将知识提炼的计算消耗与在线推理的Token消耗解耦，在线调用时直接检索预处理的工艺知识片段，减少实时推理的Token开销。二是对工艺稳定性分析报告、多方案对比结论等周期性输出结果进行缓存，同类查询在缓存有效期内直接返回既有结果，避免重复推理消耗。</w:t>
      </w:r>
    </w:p>
    <w:p w14:paraId="2F10D859">
      <w:pPr>
        <w:ind w:firstLine="643"/>
      </w:pPr>
      <w:r>
        <w:rPr>
          <w:rFonts w:hint="eastAsia"/>
          <w:b/>
          <w:bCs/>
        </w:rPr>
        <w:t>固化工艺分析输出模板与结构化呈现。</w:t>
      </w:r>
      <w:r>
        <w:rPr>
          <w:rFonts w:hint="eastAsia"/>
        </w:rPr>
        <w:t>一是将工艺稳定性报告、方案对比分析等标准化输出内容模板化，模型按模板结构填充统计指标、对比结论与建议方向，限制自由文本生成篇幅，将单次分析的输出Token消耗控制在合理范围内。二是工艺知识检索输出限定为要点摘要与引用来源索引，引导用户按需深入查阅完整工艺文档，以最小化输出Token开销满足经营决策信息获取需求。</w:t>
      </w:r>
    </w:p>
    <w:p w14:paraId="04053819">
      <w:pPr>
        <w:pStyle w:val="4"/>
        <w:numPr>
          <w:ilvl w:val="0"/>
          <w:numId w:val="3"/>
        </w:numPr>
        <w:ind w:left="-3" w:firstLine="643" w:firstLineChars="0"/>
      </w:pPr>
      <w:bookmarkStart w:id="87" w:name="_Toc21631"/>
      <w:bookmarkStart w:id="88" w:name="_Toc25438"/>
      <w:r>
        <w:rPr>
          <w:rFonts w:hint="eastAsia"/>
        </w:rPr>
        <w:t>柔性产线快速换产</w:t>
      </w:r>
      <w:bookmarkEnd w:id="87"/>
      <w:bookmarkEnd w:id="88"/>
    </w:p>
    <w:p w14:paraId="60F09DFF">
      <w:pPr>
        <w:ind w:firstLine="640"/>
      </w:pPr>
      <w:r>
        <w:rPr>
          <w:rFonts w:hint="eastAsia"/>
        </w:rPr>
        <w:t>柔性产线快速换产模型应用主要包括以下场景：一是换产方案仿真与验证。在正式执行换产前，模型基于目标产品的工艺配方、物料清单、设备能力与当前产线状态，在虚拟环境中对换产全流程进行仿真推演，验证工装切换顺序、参数下发逻辑与物流配送时序的合理性，识别潜在的工位冲突与节拍瓶颈，输出优化后的换产方案供生产调度人员决策。二是换产效率分析与瓶颈诊断。模型以历史换产记录为数据源，统计分析各工位换产耗时分布、换产成功率与异常类型频次，自动定位制约换产效率的关键瓶颈工位与高频故障环节，生成换产效率改善建议与工装优化方向，支撑精益改善与换产标准化建设。三是多产品混流排产与换产策略优化。在多品种小批量生产模式下，模型基于订单交期、产品工艺相似度、设备换产成本矩阵等约束，优化产品投产顺序与换产策略组合，在满足交期承诺的前提下最小化换产频次与总换产时间损失，实现柔性产能与换产成本的全局平衡。</w:t>
      </w:r>
    </w:p>
    <w:p w14:paraId="55912B6D">
      <w:pPr>
        <w:ind w:firstLine="643"/>
      </w:pPr>
      <w:r>
        <w:rPr>
          <w:rFonts w:hint="eastAsia"/>
          <w:b/>
          <w:bCs/>
        </w:rPr>
        <w:t>（1）Token消耗特征</w:t>
      </w:r>
    </w:p>
    <w:p w14:paraId="7C1CB902">
      <w:pPr>
        <w:ind w:firstLine="643"/>
      </w:pPr>
      <w:r>
        <w:rPr>
          <w:rFonts w:hint="eastAsia"/>
          <w:b/>
          <w:bCs/>
        </w:rPr>
        <w:t>一是分析推理复杂度中等，推演任务Token消耗随产线规模线性增长。</w:t>
      </w:r>
      <w:r>
        <w:rPr>
          <w:rFonts w:hint="eastAsia"/>
        </w:rPr>
        <w:t>柔性产线快速换产属于分析推演型任务，调用模式以仿真验证、效率统计分析与排产策略优化为主。单次换产仿真需遍历各工位的工装切换逻辑与时序约束，推理步数与产线工位数量正相关；排产策略优化则需在订单队列与产品矩阵中搜索较优投产序列，Token消耗量随订单数量与产品种类增长而上升。整体Token消耗处于中等水平，可依据产线规模与问题复杂度进行预估。</w:t>
      </w:r>
    </w:p>
    <w:p w14:paraId="1D57BC04">
      <w:pPr>
        <w:ind w:firstLine="643"/>
      </w:pPr>
      <w:r>
        <w:rPr>
          <w:rFonts w:hint="eastAsia"/>
          <w:b/>
          <w:bCs/>
        </w:rPr>
        <w:t>二是调用频率呈阶段性集中特征，与经营决策节点高度耦合。</w:t>
      </w:r>
      <w:r>
        <w:rPr>
          <w:rFonts w:hint="eastAsia"/>
        </w:rPr>
        <w:t>换产方案仿真验证通常在新产品导入、产线改造验收或换产标准化评审等节点集中触发，月均调用频次有限；换产效率分析按周或月度精益改善周期执行；混流排产策略优化则与生产计划编制周期同步。日常运行期间，换产指令解析与参数下发等高频实时任务已下沉至边缘侧或由传统自动化系统执行，本场景仅承载事前的分析优化类调用，Token消耗在日常维持低基线水平，在分析节点出现阶段性峰值。</w:t>
      </w:r>
    </w:p>
    <w:p w14:paraId="4E3B71D2">
      <w:pPr>
        <w:ind w:firstLine="643"/>
      </w:pPr>
      <w:r>
        <w:rPr>
          <w:rFonts w:hint="eastAsia"/>
          <w:b/>
          <w:bCs/>
        </w:rPr>
        <w:t>三是非实时异步执行，资源调度灵活度高。</w:t>
      </w:r>
      <w:r>
        <w:rPr>
          <w:rFonts w:hint="eastAsia"/>
        </w:rPr>
        <w:t>换产仿真与效率分析均为离线异步任务，不直接驱动产线设备动作，对响应延迟的容忍度远高于实时控制类场景。仿真任务可在数分钟至数十分钟内完成，排产优化可异步运行后返回推荐方案，这为Token资源在经营分析节点错峰调度、削峰填谷提供了充分的调度弹性空间。</w:t>
      </w:r>
    </w:p>
    <w:p w14:paraId="76F7E489">
      <w:pPr>
        <w:ind w:firstLine="643"/>
        <w:rPr>
          <w:b/>
          <w:bCs/>
        </w:rPr>
      </w:pPr>
      <w:r>
        <w:rPr>
          <w:rFonts w:hint="eastAsia"/>
          <w:b/>
          <w:bCs/>
        </w:rPr>
        <w:t>（2）Token管理侧重点</w:t>
      </w:r>
    </w:p>
    <w:p w14:paraId="790AB9BB">
      <w:pPr>
        <w:ind w:firstLine="643"/>
      </w:pPr>
      <w:r>
        <w:rPr>
          <w:rFonts w:hint="eastAsia"/>
          <w:b/>
          <w:bCs/>
        </w:rPr>
        <w:t>建立按需动态配额与经营节点预调度机制。</w:t>
      </w:r>
      <w:r>
        <w:rPr>
          <w:rFonts w:hint="eastAsia"/>
        </w:rPr>
        <w:t>一是换产分析优化场景采用按需动态配额模式，日常基线配额仅覆盖换产效率趋势查询与历史记录检索等轻量交互，避免按换产高峰期固定预留造成资源闲置。二是在新产品导入、产线改造验收、月度排产计划编制等已知经营节点前，根据排程计划预判Token需求峰值，提前动态上调配额上限并按实际用量结算，节点结束后自动回落至基线水平，实现资源供给与经营节拍的精准匹配，兼顾分析时效与Token成本可控。</w:t>
      </w:r>
    </w:p>
    <w:p w14:paraId="30A247CB">
      <w:pPr>
        <w:ind w:firstLine="643"/>
      </w:pPr>
      <w:r>
        <w:rPr>
          <w:rFonts w:hint="eastAsia"/>
          <w:b/>
          <w:bCs/>
        </w:rPr>
        <w:t>实施分析任务分级与仿真精度按需裁剪。</w:t>
      </w:r>
      <w:r>
        <w:rPr>
          <w:rFonts w:hint="eastAsia"/>
        </w:rPr>
        <w:t>一是将换产相关分析任务按复杂度与紧急程度分级：换产记录查询与效率指标统计为轻量级即时响应任务；换产仿真验证与瓶颈分析为标准分析任务，分配中等Token预算；多产品混流排产策略优化为复杂推演任务，分配较高Token预算并设定最大搜索迭代轮数上限。各级任务按预算额度执行，超限自动截断并返回当前最优结果，防止全局寻优过度消耗Token配额。二是仿真推演任务采用精度按需裁剪策略，方案初筛阶段以粗粒度仿真快速排除不可行方案，仅对入围方案执行高精度全工位仿真，以“粗筛低耗+精选高耗”的两阶段策略平衡分析精度与Token成本。</w:t>
      </w:r>
    </w:p>
    <w:p w14:paraId="73CBF198">
      <w:pPr>
        <w:ind w:firstLine="643"/>
      </w:pPr>
      <w:r>
        <w:rPr>
          <w:rFonts w:hint="eastAsia"/>
          <w:b/>
          <w:bCs/>
        </w:rPr>
        <w:t>推行换产方案模板化与历史结果缓存复用。</w:t>
      </w:r>
      <w:r>
        <w:rPr>
          <w:rFonts w:hint="eastAsia"/>
        </w:rPr>
        <w:t>一是将已验证的标准换产方案按产品—产线组合模板化存储，同类换产需求触发时优先匹配模板方案并直接输出，仅在产品工艺变更或产线布局调整时触发新一轮完整仿真验证，从源头降低换产仿真调用频次。二是对换产效率分析报告、瓶颈诊断结论等周期性输出结果进行缓存，在分析周期内同类查询直接返回既有分析结果，避免重复推理消耗。三是将混流排产策略优化中已验证有效的产品投产序列与换产组合按订单特征缓存为推荐策略，相似订单结构再次出现时优先推荐缓存策略并在此基础上微调，减少全量优化推演频次。</w:t>
      </w:r>
    </w:p>
    <w:p w14:paraId="2100E65D">
      <w:pPr>
        <w:ind w:firstLine="643"/>
      </w:pPr>
      <w:r>
        <w:rPr>
          <w:rFonts w:hint="eastAsia"/>
          <w:b/>
          <w:bCs/>
        </w:rPr>
        <w:t>固化分析输出模板与结构化呈现。</w:t>
      </w:r>
      <w:r>
        <w:rPr>
          <w:rFonts w:hint="eastAsia"/>
        </w:rPr>
        <w:t>一是将换产仿真报告、效率分析报告、排产策略建议等标准化输出内容模板化，模型按模板结构填充仿真结果、瓶颈清单、对比结论与优化建议，限制自由文本生成篇幅，将单次分析的输出Token消耗控制在合理区间。二是排产策略输出限定为产品投产序列清单与关键评估指标（换产总耗时、交期达成率等），以结构化数据呈现替代长篇文字说明，最小化输出Token开销。</w:t>
      </w:r>
    </w:p>
    <w:p w14:paraId="15BEB5C6">
      <w:pPr>
        <w:pStyle w:val="4"/>
        <w:numPr>
          <w:ilvl w:val="0"/>
          <w:numId w:val="3"/>
        </w:numPr>
        <w:ind w:left="-3" w:firstLine="643" w:firstLineChars="0"/>
      </w:pPr>
      <w:bookmarkStart w:id="89" w:name="_Toc28117"/>
      <w:bookmarkStart w:id="90" w:name="_Toc15210"/>
      <w:r>
        <w:rPr>
          <w:rFonts w:hint="eastAsia"/>
        </w:rPr>
        <w:t>质量精准追溯</w:t>
      </w:r>
      <w:bookmarkEnd w:id="89"/>
      <w:bookmarkEnd w:id="90"/>
    </w:p>
    <w:p w14:paraId="09CB438F">
      <w:pPr>
        <w:ind w:firstLine="640"/>
      </w:pPr>
      <w:r>
        <w:rPr>
          <w:rFonts w:hint="eastAsia"/>
        </w:rPr>
        <w:t>质量精准追溯模型应用主要包括以下场景：一是缺陷批次正向追溯与影响范围界定。在线检测或抽检发现质量异常时，模型自动串联从原料投料到成品下线的完整质量履历，精准锁定同批次潜在缺陷产品的流转范围与影响工位，生成追溯图谱与围堵建议，替代人工跨系统逐环节排查。二是缺陷根因多维度逆向定位。模型将缺陷特征与工艺参数波动、设备异常事件、来料批次变更、环境记录等多维数据进行时序关联分析，构建“缺陷现象—过程异常—根因事件”的因果推理链，自动推荐高概率根因与验证步骤。三是质量趋势预警与系统性风险识别。模型按周或月度汇总追溯记录，对同类缺陷的复现频次、产线与产品分布特征进行统计挖掘，识别系统性工艺缺陷、设备劣化趋势或供应商质量波动，生成趋势预警与改善建议，支撑质量管理评审与供应商绩效评价。</w:t>
      </w:r>
    </w:p>
    <w:p w14:paraId="1B3CBA16">
      <w:pPr>
        <w:ind w:firstLine="643"/>
      </w:pPr>
      <w:r>
        <w:rPr>
          <w:rFonts w:hint="eastAsia"/>
          <w:b/>
          <w:bCs/>
        </w:rPr>
        <w:t>（1）Token消耗特征</w:t>
      </w:r>
    </w:p>
    <w:p w14:paraId="1A94ED8C">
      <w:pPr>
        <w:ind w:firstLine="643"/>
      </w:pPr>
      <w:r>
        <w:rPr>
          <w:rFonts w:hint="eastAsia"/>
          <w:b/>
          <w:bCs/>
        </w:rPr>
        <w:t>一是多维数据关联推理复杂度较高，单次追溯Token消耗中等偏上。</w:t>
      </w:r>
      <w:r>
        <w:rPr>
          <w:rFonts w:hint="eastAsia"/>
        </w:rPr>
        <w:t>质量精准追溯的核心是将缺陷现象与物料批次、工艺参数、设备状态、人员操作、环境条件等多维数据进行跨系统关联与因果推理。与单点查询或单轮统计不同，根因定位需在多个维度间进行时序对齐、相关性分析与因果链构建，推理过程涉及多次数据检索与逻辑推演。单次追溯任务的Token消耗量显著高于简单报表查询，但推理路径围绕已发生的质量事件展开，搜索空间有边界约束，整体消耗处于A级场景的中等偏上水平，可通过事件复杂度预先估算。</w:t>
      </w:r>
    </w:p>
    <w:p w14:paraId="2C642642">
      <w:pPr>
        <w:ind w:firstLine="643"/>
      </w:pPr>
      <w:r>
        <w:rPr>
          <w:rFonts w:hint="eastAsia"/>
          <w:b/>
          <w:bCs/>
        </w:rPr>
        <w:t>二是调用触发由质量事件驱动，频率低但单次消耗集中。</w:t>
      </w:r>
      <w:r>
        <w:rPr>
          <w:rFonts w:hint="eastAsia"/>
        </w:rPr>
        <w:t>质量追溯任务由产品缺陷发现或质量指标异常触发，日常运行期间无稳态调用流量。在客户投诉、批量不良、审核不符合项等质量事件发生时集中启动，单次事件的追溯调用频次低但单次任务的Token消耗较为集中。月度质量分析、供应商评审等周期性节点，质量趋势分析类任务会形成小规模调用高峰。</w:t>
      </w:r>
    </w:p>
    <w:p w14:paraId="20AC5203">
      <w:pPr>
        <w:ind w:firstLine="643"/>
      </w:pPr>
      <w:r>
        <w:rPr>
          <w:rFonts w:hint="eastAsia"/>
          <w:b/>
          <w:bCs/>
        </w:rPr>
        <w:t>三是追溯时效性要求适中，延迟容忍度介于实时与长周期之间。</w:t>
      </w:r>
      <w:r>
        <w:rPr>
          <w:rFonts w:hint="eastAsia"/>
        </w:rPr>
        <w:t>质量事件发生后，企业通常要求在数小时至一个工作日内完成初步追溯与围堵，对时效性的要求高于月度工艺分析等长周期优化任务，但远低于设备实时控制类场景的秒级要求。模型推理可在分钟级完成单次追溯任务，满足质量响应时效要求，同时为Token资源灵活调度提供了缓冲空间。</w:t>
      </w:r>
    </w:p>
    <w:p w14:paraId="671E3853">
      <w:pPr>
        <w:ind w:firstLine="643"/>
      </w:pPr>
      <w:r>
        <w:rPr>
          <w:rFonts w:hint="eastAsia"/>
          <w:b/>
          <w:bCs/>
        </w:rPr>
        <w:t>（2）Token管理侧重点</w:t>
      </w:r>
    </w:p>
    <w:p w14:paraId="0739C776">
      <w:pPr>
        <w:ind w:firstLine="643"/>
      </w:pPr>
      <w:r>
        <w:rPr>
          <w:rFonts w:hint="eastAsia"/>
          <w:b/>
          <w:bCs/>
        </w:rPr>
        <w:t>建立质量事件驱动的按需配额弹性供给机制。</w:t>
      </w:r>
      <w:r>
        <w:rPr>
          <w:rFonts w:hint="eastAsia"/>
        </w:rPr>
        <w:t>一是质量精准追溯场景采用事件驱动的动态配额模式，日常不设固定基线配额，仅保留质量履历查询等低频轻量调用的最低保障额度，避免资源闲置。二是在质量问题触发追溯任务时，根据事件等级动态申请Token配额——重大质量事故或客户投诉等高紧迫事件优先保障配额与推理资源，一般性内部质量异常按标准配额执行，追溯完成后配额即时释放。三是在月度质量评审、供应商季评等周期性节点前，按排程提前储备批量趋势分析所需Token资源，节点结束后回落至日常低水位。</w:t>
      </w:r>
    </w:p>
    <w:p w14:paraId="030B324B">
      <w:pPr>
        <w:ind w:firstLine="643"/>
      </w:pPr>
      <w:r>
        <w:rPr>
          <w:rFonts w:hint="eastAsia"/>
          <w:b/>
          <w:bCs/>
        </w:rPr>
        <w:t>实施追溯任务的深度分级与渐进式推理策略。</w:t>
      </w:r>
      <w:r>
        <w:rPr>
          <w:rFonts w:hint="eastAsia"/>
        </w:rPr>
        <w:t>一是将质量追溯任务按事件等级与分析深度分级：缺陷批次范围圈定为标准追溯任务，分配常规Token预算，以结构化数据检索为主；根因多维逆向定位为深度追溯任务，分配较高Token预算并设定最大推理轮数，聚焦于高概率根因的因果验证，避免无限扩展分析维度；系统性质量趋势预警为周期性分析任务，按月度配额管控。二是采用“先范围圈定、再根因深挖”的渐进式推理策略，第一阶段以低Token消耗完成缺陷批次的前向与后向追溯、锁定影响范围，第二阶段仅在用户确认需深入分析时启动根因定位推理，避免每一质量事件均执行全深度追溯。</w:t>
      </w:r>
    </w:p>
    <w:p w14:paraId="0DDBEC85">
      <w:pPr>
        <w:ind w:firstLine="643"/>
      </w:pPr>
      <w:r>
        <w:rPr>
          <w:rFonts w:hint="eastAsia"/>
          <w:b/>
          <w:bCs/>
        </w:rPr>
        <w:t>推行质量数据预处理与追溯模板固化。</w:t>
      </w:r>
      <w:r>
        <w:rPr>
          <w:rFonts w:hint="eastAsia"/>
        </w:rPr>
        <w:t>一是将物料批次谱系、设备运行事件日志、工艺参数曲线等质量追溯所需的高频查询数据，在边缘侧或数据中台层预先完成清洗、时序对齐与关联索引构建，模型执行追溯推理时直接调用预处理后的关联数据视图，减少重复的数据清洗与跨系统联表查询消耗。二是将缺陷批次追溯图谱、根因分析框架等标准化追溯输出模板化，模型按模板结构填充追溯结论与验证建议，限制自由文本生成篇幅，将单次追溯的输出Token消耗控制在合理范围内。</w:t>
      </w:r>
    </w:p>
    <w:p w14:paraId="24A7C3F5">
      <w:pPr>
        <w:ind w:firstLine="643"/>
      </w:pPr>
      <w:r>
        <w:rPr>
          <w:rFonts w:hint="eastAsia"/>
          <w:b/>
          <w:bCs/>
        </w:rPr>
        <w:t>建立追溯结果缓存与相似案例快速匹配机制。</w:t>
      </w:r>
      <w:r>
        <w:rPr>
          <w:rFonts w:hint="eastAsia"/>
        </w:rPr>
        <w:t>一是将已完成的追溯分析结果按缺陷特征、产品型号、产线等维度进行结构化归档与向量化索引，同类型质量事件再次发生时，优先检索历史追溯案例，直接复用追溯结论与处置经验，仅在有新特征或历史匹配度不足时启动完整追溯推理，从源头降低重复追溯的Token消耗。二是对质量趋势预警等周期性分析报告进行缓存，分析周期内同类查询直接返回既有结果，避免重复推理。</w:t>
      </w:r>
    </w:p>
    <w:p w14:paraId="215CB1C4">
      <w:pPr>
        <w:pStyle w:val="4"/>
        <w:numPr>
          <w:ilvl w:val="0"/>
          <w:numId w:val="3"/>
        </w:numPr>
        <w:ind w:left="-3" w:firstLine="643" w:firstLineChars="0"/>
      </w:pPr>
      <w:bookmarkStart w:id="91" w:name="_Toc10047"/>
      <w:bookmarkStart w:id="92" w:name="_Toc28048"/>
      <w:r>
        <w:rPr>
          <w:rFonts w:hint="eastAsia"/>
        </w:rPr>
        <w:t>物料精准配送（配送策略优化模式）</w:t>
      </w:r>
      <w:bookmarkEnd w:id="91"/>
      <w:bookmarkEnd w:id="92"/>
    </w:p>
    <w:p w14:paraId="4932441D">
      <w:pPr>
        <w:ind w:firstLine="640"/>
      </w:pPr>
      <w:r>
        <w:rPr>
          <w:rFonts w:hint="eastAsia"/>
        </w:rPr>
        <w:t>物料精准配送的配送策略优化模式指模型不直接接入产线叫料触发链路与AGV实时调度系统，其输出的配送波次方案、路径优化策略与资源配置建议推送至物流调度员由人工审核确认后执行，推理链路与实时配送执行链路相互解耦。模型中断仅影响策略分析时效，线边物料配送仍按既有看板规则正常运行，影响范围限于配送效率与物流成本改善节奏。</w:t>
      </w:r>
    </w:p>
    <w:p w14:paraId="1AD9397A">
      <w:pPr>
        <w:ind w:firstLine="640"/>
      </w:pPr>
      <w:r>
        <w:rPr>
          <w:rFonts w:hint="eastAsia"/>
        </w:rPr>
        <w:t>物料精准配送的配送策略优化模型应用主要包括以下场景：一是配送波次策略与路径规划优化。模型基于历史叫料记录、产线节拍与仓库布局，按班次或日周期分析物料消耗规律，优化配送波次合并与AGV行驶路径，生成兼顾响应时效与配送效率的最优方案。二是配送资源配置与人力排班优化。模型汇总各时段叫料请求密度与配送任务量，对配送人员排班、AGV编组与线边缓存区储位分配进行优化建议输出，在保障供料不断线的同时最小化资源闲置。三是物料消耗趋势预测与主动备货建议。模型基于生产计划与历史消耗数据，预测未来班次各工位物料消耗趋势，提前生成线边备货清单与补货时间窗口建议，将配送模式从“工位触发拉动”升级为“计划驱动预置”。</w:t>
      </w:r>
    </w:p>
    <w:p w14:paraId="6914FFB8">
      <w:pPr>
        <w:ind w:firstLine="643"/>
      </w:pPr>
      <w:r>
        <w:rPr>
          <w:rFonts w:hint="eastAsia"/>
          <w:b/>
          <w:bCs/>
        </w:rPr>
        <w:t>（1）Token消耗特征</w:t>
      </w:r>
    </w:p>
    <w:p w14:paraId="349B4189">
      <w:pPr>
        <w:ind w:firstLine="643"/>
      </w:pPr>
      <w:r>
        <w:rPr>
          <w:rFonts w:hint="eastAsia"/>
          <w:b/>
          <w:bCs/>
        </w:rPr>
        <w:t>一是分析推理以统计建模与规则优化为主，单次Token消耗中等。</w:t>
      </w:r>
      <w:r>
        <w:rPr>
          <w:rFonts w:hint="eastAsia"/>
        </w:rPr>
        <w:t>配送策略优化的核心任务为叫料数据统计分析、消耗趋势预测、波次合并与路径优化建模，推理过程以结构化数据的聚合计算与规则匹配为主，不涉及多轮迭代推理或跨模态数据融合，单次任务Token消耗处于中等水平，可通过产线规模与分析周期预先估算。</w:t>
      </w:r>
    </w:p>
    <w:p w14:paraId="7E0E9607">
      <w:pPr>
        <w:ind w:firstLine="643"/>
      </w:pPr>
      <w:r>
        <w:rPr>
          <w:rFonts w:hint="eastAsia"/>
          <w:b/>
          <w:bCs/>
        </w:rPr>
        <w:t>二是调用频率与生产计划节拍同步，呈周期性特征。</w:t>
      </w:r>
      <w:r>
        <w:rPr>
          <w:rFonts w:hint="eastAsia"/>
        </w:rPr>
        <w:t>配送波次优化按班次或日节拍触发，资源配置优化按周度或换产周期执行，物料消耗趋势预测与生产计划下发频率同步。日常无稳态高频调用需求，Token消耗集中在班次切换、周度物流评审等节点，呈周期性小幅峰值。</w:t>
      </w:r>
    </w:p>
    <w:p w14:paraId="6DF3B3A6">
      <w:pPr>
        <w:ind w:firstLine="643"/>
      </w:pPr>
      <w:r>
        <w:rPr>
          <w:rFonts w:hint="eastAsia"/>
          <w:b/>
          <w:bCs/>
        </w:rPr>
        <w:t>三是异步处理延迟容忍度高，结果可周期性复用。</w:t>
      </w:r>
      <w:r>
        <w:rPr>
          <w:rFonts w:hint="eastAsia"/>
        </w:rPr>
        <w:t>配送策略优化方案在计划周期内持续有效，模型推理可在分钟级完成，方案缓存后在整个有效周期内复用，为Token资源的错峰调度与结果缓存提供了充分空间。</w:t>
      </w:r>
    </w:p>
    <w:p w14:paraId="4E087929">
      <w:pPr>
        <w:ind w:firstLine="643"/>
      </w:pPr>
      <w:r>
        <w:rPr>
          <w:rFonts w:hint="eastAsia"/>
          <w:b/>
          <w:bCs/>
        </w:rPr>
        <w:t>（2）Token管理侧重点</w:t>
      </w:r>
    </w:p>
    <w:p w14:paraId="11B62988">
      <w:pPr>
        <w:ind w:firstLine="643"/>
      </w:pPr>
      <w:r>
        <w:rPr>
          <w:rFonts w:hint="eastAsia"/>
          <w:b/>
          <w:bCs/>
        </w:rPr>
        <w:t>建立计划周期驱动的弹性配额机制。</w:t>
      </w:r>
      <w:r>
        <w:rPr>
          <w:rFonts w:hint="eastAsia"/>
        </w:rPr>
        <w:t>一是配送策略优化模式采用按计划周期动态配额，日常基线仅覆盖物料消耗趋势查询等低频轻量调用，避免资源闲置。二是在班次计划切换、周度物流评审、换产前策略调整等已知节点，根据排程提前预判Token需求并动态上调配额，节点结束后自动回落。</w:t>
      </w:r>
    </w:p>
    <w:p w14:paraId="19E10536">
      <w:pPr>
        <w:ind w:firstLine="643"/>
      </w:pPr>
      <w:r>
        <w:rPr>
          <w:rFonts w:hint="eastAsia"/>
          <w:b/>
          <w:bCs/>
        </w:rPr>
        <w:t>实施分析任务的分级与预算管控。</w:t>
      </w:r>
      <w:r>
        <w:rPr>
          <w:rFonts w:hint="eastAsia"/>
        </w:rPr>
        <w:t>一是将配送策略任务按复杂度分级：消耗统计与趋势查询为轻量级即时响应；配送波次优化与路径规划为标准分析任务，分配中等Token预算；多产线全局配送资源配置优化为复杂推演任务，分配较高Token预算并设定最大分析范围与迭代轮数上限。二是对全局优化等大规模任务，采用“单线优化+全局协调”两阶段策略，先以低Token消耗完成各产线独立优化，再对跨产线共享资源进行协调微调，避免全量全局优化过度消耗Token。</w:t>
      </w:r>
    </w:p>
    <w:p w14:paraId="0E3CF1C0">
      <w:pPr>
        <w:ind w:firstLine="643"/>
      </w:pPr>
      <w:r>
        <w:rPr>
          <w:rFonts w:hint="eastAsia"/>
          <w:b/>
          <w:bCs/>
        </w:rPr>
        <w:t>推行优化方案缓存与触发式更新机制。</w:t>
      </w:r>
      <w:r>
        <w:rPr>
          <w:rFonts w:hint="eastAsia"/>
        </w:rPr>
        <w:t>一是将已验证的配送波次方案、路径规划与资源配置方案按产线、班次、生产计划特征缓存，同类工况下优先复用缓存方案，仅在生产计划变更或消耗模式显著偏移时触发新一轮完整优化。二是对物料消耗趋势预测设置更新阈值，预测偏差在容许范围内时沿用当前结果，偏差超限时触发模型刷新，减少不必要的重复推理。</w:t>
      </w:r>
    </w:p>
    <w:p w14:paraId="4019BAC9">
      <w:pPr>
        <w:ind w:firstLine="643"/>
      </w:pPr>
      <w:r>
        <w:rPr>
          <w:rFonts w:hint="eastAsia"/>
          <w:b/>
          <w:bCs/>
        </w:rPr>
        <w:t>固化策略输出模板与结构化呈现。</w:t>
      </w:r>
      <w:r>
        <w:rPr>
          <w:rFonts w:hint="eastAsia"/>
        </w:rPr>
        <w:t>一是将配送波次方案、资源配置建议等输出模板化，模型按模板结构填充关键指标与建议方向，限制自由文本篇幅。二是物料消耗预测输出限定为工位物料清单与补货时间窗口的结构化数据，最小化输出Token开销。</w:t>
      </w:r>
    </w:p>
    <w:p w14:paraId="322B7DFE">
      <w:pPr>
        <w:pStyle w:val="4"/>
        <w:numPr>
          <w:ilvl w:val="0"/>
          <w:numId w:val="3"/>
        </w:numPr>
        <w:ind w:left="-3" w:firstLine="643" w:firstLineChars="0"/>
      </w:pPr>
      <w:bookmarkStart w:id="93" w:name="_Toc3422"/>
      <w:bookmarkStart w:id="94" w:name="_Toc17922"/>
      <w:r>
        <w:rPr>
          <w:rFonts w:hint="eastAsia"/>
        </w:rPr>
        <w:t>仓储智能管理</w:t>
      </w:r>
      <w:bookmarkEnd w:id="93"/>
      <w:bookmarkEnd w:id="94"/>
    </w:p>
    <w:p w14:paraId="4352BE9D">
      <w:pPr>
        <w:ind w:firstLine="640"/>
      </w:pPr>
      <w:r>
        <w:rPr>
          <w:rFonts w:hint="eastAsia"/>
        </w:rPr>
        <w:t>仓储智能管理中模型应用主要包括以下场景：一是库存策略优化与安全库存动态计算。模型基于历史出库数据、需求预测、供应商交期波动与库容约束，按周或月度动态计算各SKU的安全库存水位与补货触发点，输出库存策略调整建议，在保障供应连续性的前提下最小化库存资金占用。二是多级库网调拨分析与滞销品预警。模型汇总分析各区域仓库的库存周转率、库龄结构与需求分布，识别跨库调拨机会与滞销呆滞品清单，生成调拨建议与清仓策略，提升库存全局周转效率。三是仓储资源规划与效能分析。模型基于出入库吞吐量趋势、存储密度与设备利用率等数据，对仓库储位规划、设备配置与人力排班进行效能评估与优化建议输出，支撑仓储运营改善与投资决策。</w:t>
      </w:r>
    </w:p>
    <w:p w14:paraId="32D11BEC">
      <w:pPr>
        <w:ind w:firstLine="643"/>
      </w:pPr>
      <w:r>
        <w:rPr>
          <w:rFonts w:hint="eastAsia"/>
          <w:b/>
          <w:bCs/>
        </w:rPr>
        <w:t>（1）Token消耗特征</w:t>
      </w:r>
    </w:p>
    <w:p w14:paraId="20BD6080">
      <w:pPr>
        <w:ind w:firstLine="643"/>
      </w:pPr>
      <w:r>
        <w:rPr>
          <w:rFonts w:hint="eastAsia"/>
          <w:b/>
          <w:bCs/>
        </w:rPr>
        <w:t>一是分析推理以统计聚合与规则匹配为主，单次Token消耗中等。</w:t>
      </w:r>
      <w:r>
        <w:rPr>
          <w:rFonts w:hint="eastAsia"/>
        </w:rPr>
        <w:t>仓储智能管理的核心任务为库存数据汇总统计、周转率趋势分析、安全库存建模与调拨策略匹配，推理过程以结构化数据的聚合计算、阈值比对与规则匹配为主，不涉及多轮迭代推理或跨模态数据深度关联，单次任务Token消耗处于中等偏低水平，且可通过SKU规模与分析维度预先估算。</w:t>
      </w:r>
    </w:p>
    <w:p w14:paraId="79E4BD5D">
      <w:pPr>
        <w:ind w:firstLine="643"/>
      </w:pPr>
      <w:r>
        <w:rPr>
          <w:rFonts w:hint="eastAsia"/>
          <w:b/>
          <w:bCs/>
        </w:rPr>
        <w:t>二是调用频率与供应链管理节拍同步，呈周期性集中特征。</w:t>
      </w:r>
      <w:r>
        <w:rPr>
          <w:rFonts w:hint="eastAsia"/>
        </w:rPr>
        <w:t>库存策略优化通常按周或月度供应链计划周期触发，库网调拨分析在季度经营分析或大促备货前集中执行，仓储效能分析按月度或季度运营评审节奏推进。日常仅有少量库存状态查询与周转率统计等轻量交互，Token消耗总量在日常维持低基线水平，在计划编制与运营评审节点出现阶段性峰值。</w:t>
      </w:r>
    </w:p>
    <w:p w14:paraId="3B5EFC96">
      <w:pPr>
        <w:ind w:firstLine="643"/>
      </w:pPr>
      <w:r>
        <w:rPr>
          <w:rFonts w:hint="eastAsia"/>
          <w:b/>
          <w:bCs/>
        </w:rPr>
        <w:t>三是对时效性要求适中，支持异步处理与结果缓存。</w:t>
      </w:r>
      <w:r>
        <w:rPr>
          <w:rFonts w:hint="eastAsia"/>
        </w:rPr>
        <w:t>库存策略调整与调拨分析等任务通常在计划周期内完成即可，延迟容忍度在小时级，对实时性要求远低于仓储作业调度类场景。分析结果在计划周期内具有较强的复用性，为结果缓存与异步调度提供了空间。</w:t>
      </w:r>
    </w:p>
    <w:p w14:paraId="6057497B">
      <w:pPr>
        <w:ind w:firstLine="643"/>
      </w:pPr>
      <w:r>
        <w:rPr>
          <w:rFonts w:hint="eastAsia"/>
          <w:b/>
          <w:bCs/>
        </w:rPr>
        <w:t>（2）Token管理侧重点</w:t>
      </w:r>
    </w:p>
    <w:p w14:paraId="514C84AD">
      <w:pPr>
        <w:ind w:firstLine="643"/>
      </w:pPr>
      <w:r>
        <w:rPr>
          <w:rFonts w:hint="eastAsia"/>
          <w:b/>
          <w:bCs/>
        </w:rPr>
        <w:t>建立计划周期驱动的弹性配额机制。</w:t>
      </w:r>
      <w:r>
        <w:rPr>
          <w:rFonts w:hint="eastAsia"/>
        </w:rPr>
        <w:t>一是仓储智能管理场景采用按计划周期动态配额模式，日常基线配额仅覆盖库存查询与周转率统计等低频轻量调用，避免按峰值需求固定预留造成资源闲置。二是在月度供应链计划编制、季度运营评审、大促备货分析等已知节点前，根据排程提前预判Token需求峰值，动态上调配额上限并按实际用量结算，节点结束后自动回落至基线水平。</w:t>
      </w:r>
    </w:p>
    <w:p w14:paraId="7D9937EA">
      <w:pPr>
        <w:ind w:firstLine="643"/>
      </w:pPr>
      <w:r>
        <w:rPr>
          <w:rFonts w:hint="eastAsia"/>
          <w:b/>
          <w:bCs/>
        </w:rPr>
        <w:t>实施分析任务的分级与预算管控。</w:t>
      </w:r>
      <w:r>
        <w:rPr>
          <w:rFonts w:hint="eastAsia"/>
        </w:rPr>
        <w:t>一是将仓储分析任务按复杂度分级：库存状态查询与周转率统计为轻量级即时响应任务；安全库存计算与呆滞品分析为标准分析任务，分配中等Token预算；多级库网调拨优化为复杂度较高的推演任务，分配较高Token预算并设定最大分析SKU范围与计算轮数上限，防止大规模SKU全量深度分析过度消耗Token配额。二是对库网调拨分析等大规模任务，采用“全局粗筛+重点深挖”的两阶段策略，第一阶段以低Token消耗快速筛选存在调拨机会的品类与库区间，第二阶段仅对高价值品类进行精细调拨方案优化。</w:t>
      </w:r>
    </w:p>
    <w:p w14:paraId="73CCBEE1">
      <w:pPr>
        <w:ind w:firstLine="643"/>
      </w:pPr>
      <w:r>
        <w:rPr>
          <w:rFonts w:hint="eastAsia"/>
          <w:b/>
          <w:bCs/>
        </w:rPr>
        <w:t>推行库存分析结果缓存与周期性复用。</w:t>
      </w:r>
      <w:r>
        <w:rPr>
          <w:rFonts w:hint="eastAsia"/>
        </w:rPr>
        <w:t>一是将安全库存建议值、滞销品清单、仓储效能评估报告等周期性输出结果进行缓存，在计划周期内同类查询直接返回既有分析结论，避免重复推理消耗。二是对供应商交期波动、需求预测等上游输入变化设置更新阈值，仅在输入数据发生实质性变化时触发新一轮分析更新，减少不必要的刷新推理。</w:t>
      </w:r>
    </w:p>
    <w:p w14:paraId="03202748">
      <w:pPr>
        <w:ind w:firstLine="643"/>
      </w:pPr>
      <w:r>
        <w:rPr>
          <w:rFonts w:hint="eastAsia"/>
          <w:b/>
          <w:bCs/>
        </w:rPr>
        <w:t>固化分析输出模板与结构化呈现。</w:t>
      </w:r>
      <w:r>
        <w:rPr>
          <w:rFonts w:hint="eastAsia"/>
        </w:rPr>
        <w:t>一是将库存策略建议书、调拨分析报告、仓储效能评估等标准化输出模板化，模型按模板结构填充关键指标、分析结论与建议方向，限制自由文本篇幅，将单次分析的输出Token消耗控制在合理范围内。二是库存状态查询输出限定为关键指标数值与异常标识，以结构化数据呈现替代长篇文字说明，最小化输出Token开销。</w:t>
      </w:r>
    </w:p>
    <w:p w14:paraId="30A23947">
      <w:pPr>
        <w:pStyle w:val="3"/>
        <w:numPr>
          <w:ilvl w:val="0"/>
          <w:numId w:val="4"/>
        </w:numPr>
      </w:pPr>
      <w:bookmarkStart w:id="95" w:name="_Toc18529"/>
      <w:bookmarkStart w:id="96" w:name="_Toc2661"/>
      <w:r>
        <w:rPr>
          <w:rFonts w:hint="eastAsia"/>
        </w:rPr>
        <w:t>计划决策类</w:t>
      </w:r>
      <w:bookmarkEnd w:id="95"/>
      <w:bookmarkEnd w:id="96"/>
    </w:p>
    <w:p w14:paraId="091C4B33">
      <w:pPr>
        <w:ind w:firstLine="640"/>
      </w:pPr>
      <w:r>
        <w:rPr>
          <w:rFonts w:hint="eastAsia"/>
        </w:rPr>
        <w:t>计划决策类场景以离线批量推演与分层智能调度为模型调用模式，此类场景涉及跨部门数据融合与复杂逻辑运算，单次推演耗时较长且Token消耗量大，但对毫秒级实时响应无硬性约束。管理侧重点以“价值核算与精细控本”为核心，通过建立Token与业务KPI关联模型评估投入产出比，实施分层模型路由与动态配额管控，在控制Token通胀成本的前提下，确保高价值算力精准赋能企业经营决策。</w:t>
      </w:r>
    </w:p>
    <w:p w14:paraId="2D075F20">
      <w:pPr>
        <w:pStyle w:val="4"/>
        <w:numPr>
          <w:ilvl w:val="0"/>
          <w:numId w:val="3"/>
        </w:numPr>
        <w:ind w:left="-3" w:firstLine="643" w:firstLineChars="0"/>
        <w:rPr>
          <w:color w:val="000000" w:themeColor="text1"/>
          <w14:textFill>
            <w14:solidFill>
              <w14:schemeClr w14:val="tx1"/>
            </w14:solidFill>
          </w14:textFill>
        </w:rPr>
      </w:pPr>
      <w:bookmarkStart w:id="97" w:name="_Toc21758"/>
      <w:r>
        <w:rPr>
          <w:rFonts w:hint="eastAsia"/>
          <w:color w:val="000000" w:themeColor="text1"/>
          <w14:textFill>
            <w14:solidFill>
              <w14:schemeClr w14:val="tx1"/>
            </w14:solidFill>
          </w14:textFill>
        </w:rPr>
        <w:t>生产计划优化</w:t>
      </w:r>
      <w:bookmarkEnd w:id="97"/>
    </w:p>
    <w:p w14:paraId="2F67905A">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生产计划优化模型应用主要包括以下场景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一是全局多维约束下的智能排产与动态调度。通过集成订单、设备、物料等全要素数据，模型能够进行高速寻优与多目标平衡，自动生成最优生产排程方案，从而将传统依赖人工经验、耗时数天的排产模式升级为分钟级甚至秒级的智能决策，并能在突发插单或设备异常时快速重算，实现生产资源的敏捷调配。二是计划仿真预演与全流程协同闭环。在计划下发前，模型可基于业务仿真建模进行“沙盘推演”，科学解释推理过程并校验决策结果，提前预见潜在瓶颈。在此基础上，系统打通ERP、MES等核心业务链路，将优化方案直接转化为可执行的生产指令，并实时接收现场执行反馈进行模型自学习，实现“预测—推演—执行—反馈”的持续优化闭环。</w:t>
      </w:r>
    </w:p>
    <w:p w14:paraId="33C22A94">
      <w:pPr>
        <w:ind w:firstLine="643"/>
        <w:rPr>
          <w:b/>
          <w:bCs/>
        </w:rPr>
      </w:pPr>
      <w:r>
        <w:rPr>
          <w:b/>
          <w:bCs/>
        </w:rPr>
        <w:t>（1）Token</w:t>
      </w:r>
      <w:r>
        <w:rPr>
          <w:rFonts w:hint="eastAsia"/>
          <w:b/>
          <w:bCs/>
        </w:rPr>
        <w:t>消耗</w:t>
      </w:r>
      <w:r>
        <w:rPr>
          <w:b/>
          <w:bCs/>
        </w:rPr>
        <w:t>特征</w:t>
      </w:r>
    </w:p>
    <w:p w14:paraId="5DED9DAF">
      <w:pPr>
        <w:ind w:firstLine="643"/>
      </w:pPr>
      <w:r>
        <w:rPr>
          <w:rFonts w:hint="eastAsia"/>
          <w:b/>
          <w:bCs/>
        </w:rPr>
        <w:t>一是全要素结构化数据的高密度序列化消耗。</w:t>
      </w:r>
      <w:r>
        <w:rPr>
          <w:rFonts w:hint="eastAsia"/>
        </w:rPr>
        <w:t>在全局多维约束下的智能排产场景中，模型需将订单、设备、物料BOM、工艺路线等海量结构化业务数据转化为可理解的上下文，此类高密度数据的序列化转化会瞬间产生极大的输入Token开销。</w:t>
      </w:r>
    </w:p>
    <w:p w14:paraId="58593ADB">
      <w:pPr>
        <w:ind w:firstLine="643"/>
      </w:pPr>
      <w:r>
        <w:rPr>
          <w:rFonts w:hint="eastAsia"/>
          <w:b/>
          <w:bCs/>
        </w:rPr>
        <w:t>二是高频动态触发引发的脉冲式消耗。</w:t>
      </w:r>
      <w:r>
        <w:rPr>
          <w:rFonts w:hint="eastAsia"/>
        </w:rPr>
        <w:t>在应对突发插单或设备异常进行敏捷调配与动态重算时，系统需在极短时间内完成全要素数据的重新寻优，导致Token消耗在瞬时出现显著尖峰，呈现出与生产异常频率强相关的脉冲式消耗特征。</w:t>
      </w:r>
    </w:p>
    <w:p w14:paraId="231CB680">
      <w:pPr>
        <w:ind w:firstLine="643"/>
      </w:pPr>
      <w:r>
        <w:rPr>
          <w:rFonts w:hint="eastAsia"/>
          <w:b/>
          <w:bCs/>
        </w:rPr>
        <w:t>三是长链路推理与仿真推演的长文本生成消耗。</w:t>
      </w:r>
      <w:r>
        <w:rPr>
          <w:rFonts w:hint="eastAsia"/>
        </w:rPr>
        <w:t>在计划仿真预演与全流程协同闭环中，模型不仅要输出最优排程方案，还需生成详尽的逻辑推导、瓶颈分析及多方案对比报告，且需持续接收MES现场反馈进行自学习，这种深度推理与闭环交互会导致高价值的输出Token持续大量消耗</w:t>
      </w:r>
      <w:r>
        <w:t>。</w:t>
      </w:r>
    </w:p>
    <w:p w14:paraId="56AC84A0">
      <w:pPr>
        <w:ind w:firstLine="643"/>
        <w:rPr>
          <w:b/>
          <w:bCs/>
        </w:rPr>
      </w:pPr>
      <w:r>
        <w:rPr>
          <w:rFonts w:hint="eastAsia"/>
          <w:b/>
          <w:bCs/>
        </w:rPr>
        <w:t>（2）Token管理侧重点</w:t>
      </w:r>
    </w:p>
    <w:p w14:paraId="414209FB">
      <w:pPr>
        <w:ind w:firstLine="643"/>
      </w:pPr>
      <w:r>
        <w:rPr>
          <w:rFonts w:hint="eastAsia"/>
          <w:b/>
          <w:bCs/>
        </w:rPr>
        <w:t>强化数据预处理与分层模型路由。</w:t>
      </w:r>
      <w:r>
        <w:rPr>
          <w:rFonts w:hint="eastAsia"/>
        </w:rPr>
        <w:t>严禁将原始业务数据直接注入模型，需建立中间件对ERP、MES数据进行清洗与结构化压缩；同时根据任务复杂度建立分层路由机制，将简单的状态查询或格式转换交由轻量级模型处理，仅在全局寻优与复杂逻辑推理时调用高能力模型，以大幅降低无效Token消耗。</w:t>
      </w:r>
    </w:p>
    <w:p w14:paraId="74AF4C89">
      <w:pPr>
        <w:ind w:firstLine="643"/>
      </w:pPr>
      <w:r>
        <w:rPr>
          <w:rFonts w:hint="eastAsia"/>
          <w:b/>
          <w:bCs/>
        </w:rPr>
        <w:t>建立动态预算与分级响应熔断机制。</w:t>
      </w:r>
      <w:r>
        <w:rPr>
          <w:rFonts w:hint="eastAsia"/>
        </w:rPr>
        <w:t>针对突发异常触发的重算需求，设定严格的Token消耗上限与超时阈值；当全量重算成本过高或超时，系统应自动降级为局部启发式重算或人工辅助确认模式，确保生产连续性优于模型完美度；在仿真推演中采用关键路径分析，仅对高风险节点进行深度Token推演，避免穷举式消耗。</w:t>
      </w:r>
    </w:p>
    <w:p w14:paraId="2083A90E">
      <w:pPr>
        <w:ind w:firstLine="643"/>
        <w:rPr>
          <w:b/>
          <w:bCs/>
        </w:rPr>
      </w:pPr>
      <w:r>
        <w:rPr>
          <w:rFonts w:hint="eastAsia"/>
          <w:b/>
          <w:bCs/>
        </w:rPr>
        <w:t>聚焦决策ROI与反馈数据精炼。</w:t>
      </w:r>
      <w:r>
        <w:rPr>
          <w:rFonts w:hint="eastAsia"/>
        </w:rPr>
        <w:t>将Token管理从单纯的“单价控制”转向“效能评估”，重点考核单位Token消耗带来的业务价值，如减少设备闲置、避免违约等；在闭环反馈环节建立高价值数据过滤机制，仅将计划与实际的显著偏差、新异常模式等高价值信息注入模型进行对齐，并将验证有效的排产策略固化为传统规则，逐步降低常规场景下的Token依赖</w:t>
      </w:r>
      <w:r>
        <w:t>。</w:t>
      </w:r>
    </w:p>
    <w:p w14:paraId="7ED0AC78">
      <w:pPr>
        <w:pStyle w:val="4"/>
        <w:numPr>
          <w:ilvl w:val="0"/>
          <w:numId w:val="3"/>
        </w:numPr>
        <w:ind w:left="-3" w:firstLine="643" w:firstLineChars="0"/>
      </w:pPr>
      <w:bookmarkStart w:id="98" w:name="_Toc9456"/>
      <w:r>
        <w:rPr>
          <w:rFonts w:hint="eastAsia"/>
        </w:rPr>
        <w:t>采购计划优化协同</w:t>
      </w:r>
      <w:bookmarkEnd w:id="98"/>
    </w:p>
    <w:p w14:paraId="4757A974">
      <w:pPr>
        <w:ind w:firstLine="640"/>
      </w:pPr>
      <w:r>
        <w:rPr>
          <w:rFonts w:hint="eastAsia"/>
        </w:rPr>
        <w:t>采购计划优化协同的模型应用主要包括以下场景：一是基于多维数据融合的智能补货与需求预测。通过打通销售订单、生产计划、实时库存与在途物流等多源数据，模型能够精准计算动态安全库存边界，自动生成附带明确“建议到货时间窗”的采购计划，将传统基于人工经验的静态备料升级为“拉动式”的精准协同。二是供应链风险感知与动态寻源。模型持续监控外部市场舆情、物流轨迹及供应商交付绩效，对潜在的断供或延迟风险进行提前预警，并自动推荐替代供应商或调整采购批量，实现“预测—预警—协同”的闭环。</w:t>
      </w:r>
    </w:p>
    <w:p w14:paraId="7A8F5CD4">
      <w:pPr>
        <w:ind w:firstLine="643"/>
        <w:rPr>
          <w:b/>
          <w:bCs/>
        </w:rPr>
      </w:pPr>
      <w:r>
        <w:rPr>
          <w:b/>
          <w:bCs/>
        </w:rPr>
        <w:t>（1）Token</w:t>
      </w:r>
      <w:r>
        <w:rPr>
          <w:rFonts w:hint="eastAsia"/>
          <w:b/>
          <w:bCs/>
        </w:rPr>
        <w:t>消耗</w:t>
      </w:r>
      <w:r>
        <w:rPr>
          <w:b/>
          <w:bCs/>
        </w:rPr>
        <w:t>特征</w:t>
      </w:r>
    </w:p>
    <w:p w14:paraId="68357922">
      <w:pPr>
        <w:ind w:firstLine="643"/>
      </w:pPr>
      <w:r>
        <w:rPr>
          <w:rFonts w:hint="eastAsia"/>
          <w:b/>
          <w:bCs/>
        </w:rPr>
        <w:t>一是多源异构数据融合带来的高输入消耗。</w:t>
      </w:r>
      <w:r>
        <w:rPr>
          <w:rFonts w:hint="eastAsia"/>
        </w:rPr>
        <w:t>在智能补货与需求预测场景中，模型需要实时吞吐海量的销售订单、生产计划、实时库存及在途物流等结构化与非结构化数据。为了精准计算动态安全库存边界，模型必须读取长文本的历史数据与实时状态，导致上下文窗口占用大，输入Token数量显著高于输出。</w:t>
      </w:r>
    </w:p>
    <w:p w14:paraId="02B6EB8E">
      <w:pPr>
        <w:ind w:firstLine="643"/>
      </w:pPr>
      <w:r>
        <w:rPr>
          <w:rFonts w:hint="eastAsia"/>
          <w:b/>
          <w:bCs/>
        </w:rPr>
        <w:t>二是复杂逻辑推理引发的计算密集型消耗。</w:t>
      </w:r>
      <w:r>
        <w:rPr>
          <w:rFonts w:hint="eastAsia"/>
        </w:rPr>
        <w:t>在生成“建议到货时间窗”与进行动态寻源时，模型需执行复杂的运筹优化与因果推理。这不仅涉及简单的数值计算，更包含对供应商交付绩效、物流轨迹与市场舆情的综合研判，属于高算力的深度推理过程，单位任务消耗的Token价值较高。</w:t>
      </w:r>
    </w:p>
    <w:p w14:paraId="223791E6">
      <w:pPr>
        <w:ind w:firstLine="643"/>
      </w:pPr>
      <w:r>
        <w:rPr>
          <w:rFonts w:hint="eastAsia"/>
          <w:b/>
          <w:bCs/>
        </w:rPr>
        <w:t>三是风险预警触发的突发性与间歇性消耗。</w:t>
      </w:r>
      <w:r>
        <w:rPr>
          <w:rFonts w:hint="eastAsia"/>
        </w:rPr>
        <w:t>供应链风险感知具有极强的事件驱动特征。在常态下Token消耗相对平稳，但一旦监测到外部市场舆情波动或物流异常，模型需瞬间启动高频次的“预测—预警—协同”闭环计算，导致Token消耗出现明显的波峰与脉冲式增长。</w:t>
      </w:r>
    </w:p>
    <w:p w14:paraId="07713D42">
      <w:pPr>
        <w:ind w:firstLine="643"/>
      </w:pPr>
      <w:r>
        <w:rPr>
          <w:rFonts w:hint="eastAsia"/>
          <w:b/>
          <w:bCs/>
        </w:rPr>
        <w:t>（2）Token管理侧重点</w:t>
      </w:r>
    </w:p>
    <w:p w14:paraId="5261898E">
      <w:pPr>
        <w:ind w:firstLine="643"/>
      </w:pPr>
      <w:r>
        <w:rPr>
          <w:rFonts w:hint="eastAsia"/>
          <w:b/>
          <w:bCs/>
        </w:rPr>
        <w:t>实施基于任务复杂度的分级路由策略。</w:t>
      </w:r>
      <w:r>
        <w:rPr>
          <w:rFonts w:hint="eastAsia"/>
        </w:rPr>
        <w:t>针对“建议到货时间窗”生成等高精度决策任务，应路由至逻辑推理能力更强的旗舰模型以确保准确性；而对于常规的库存状态查询或低风险级别的物流跟踪，则应自动路由至轻量级或低成本模型，在保障协同效率的同时大幅降低整体调用成本。</w:t>
      </w:r>
    </w:p>
    <w:p w14:paraId="041BDA94">
      <w:pPr>
        <w:ind w:firstLine="643"/>
      </w:pPr>
      <w:r>
        <w:rPr>
          <w:rFonts w:hint="eastAsia"/>
          <w:b/>
          <w:bCs/>
        </w:rPr>
        <w:t>构建长上下文缓存与状态复用机制。</w:t>
      </w:r>
      <w:r>
        <w:rPr>
          <w:rFonts w:hint="eastAsia"/>
        </w:rPr>
        <w:t>鉴于采购计划涉及大量相对静态的基础数据，如供应商档案、物料清单，应重点优化缓存命中率。对于非实时变动的多维融合数据，利用缓存技术避免重复编码与推理，确保Token预算集中消耗在增量数据，如突发舆情、实时物流变动。</w:t>
      </w:r>
    </w:p>
    <w:p w14:paraId="291AA469">
      <w:pPr>
        <w:ind w:firstLine="643"/>
      </w:pPr>
      <w:r>
        <w:rPr>
          <w:rFonts w:hint="eastAsia"/>
          <w:b/>
          <w:bCs/>
        </w:rPr>
        <w:t>强化异常场景下的配额熔断与优先级调度。</w:t>
      </w:r>
      <w:r>
        <w:rPr>
          <w:rFonts w:hint="eastAsia"/>
        </w:rPr>
        <w:t>针对风险感知场景的突发性消耗，需建立精细化的用量限额管控。在供应链危机爆发导致Token需求激增时，优先保障核心断供风险预警与关键物料补货计划的Token供给，对非紧急的报表分析类请求实施限流或降级，确保关键业务链路的连续性。</w:t>
      </w:r>
    </w:p>
    <w:p w14:paraId="322AF97F">
      <w:pPr>
        <w:pStyle w:val="4"/>
        <w:numPr>
          <w:ilvl w:val="0"/>
          <w:numId w:val="3"/>
        </w:numPr>
        <w:ind w:left="-3" w:firstLine="643" w:firstLineChars="0"/>
      </w:pPr>
      <w:bookmarkStart w:id="99" w:name="_Toc235"/>
      <w:r>
        <w:rPr>
          <w:rFonts w:hint="eastAsia"/>
        </w:rPr>
        <w:t>智能经营决策</w:t>
      </w:r>
      <w:bookmarkEnd w:id="99"/>
    </w:p>
    <w:p w14:paraId="1F74E5EA">
      <w:pPr>
        <w:ind w:firstLine="640"/>
      </w:pPr>
      <w:r>
        <w:rPr>
          <w:rFonts w:hint="eastAsia"/>
        </w:rPr>
        <w:t>智能经营决策的模型应用主要包括以下场景：一是业财一体化实时洞察与利润模拟。模型通过实时归集业务数据与财务规则，支持按订单或项目维度进行动态成本核算与毛利预测，使管理层能够提前模拟原材料价格波动或新订单对现金流的影响，将滞后的事后核算升级为实时的“预测式经营”。二是全局资源调度与智能体辅助决策。针对人、财、物等资源的配置，模型运用多因素关联分析与数字沙盘模拟评估风险收益，并结合大模型智能体自动拆解任务、生成图文并茂的分析简报，实现从经验判断向数据驱动的敏捷决策转变。</w:t>
      </w:r>
    </w:p>
    <w:p w14:paraId="4FE6A546">
      <w:pPr>
        <w:ind w:firstLine="643"/>
        <w:rPr>
          <w:b/>
          <w:bCs/>
        </w:rPr>
      </w:pPr>
      <w:r>
        <w:rPr>
          <w:b/>
          <w:bCs/>
        </w:rPr>
        <w:t>（1）Token</w:t>
      </w:r>
      <w:r>
        <w:rPr>
          <w:rFonts w:hint="eastAsia"/>
          <w:b/>
          <w:bCs/>
        </w:rPr>
        <w:t>消耗</w:t>
      </w:r>
      <w:r>
        <w:rPr>
          <w:b/>
          <w:bCs/>
        </w:rPr>
        <w:t>特征</w:t>
      </w:r>
    </w:p>
    <w:p w14:paraId="3A50B58E">
      <w:pPr>
        <w:ind w:firstLine="643"/>
      </w:pPr>
      <w:r>
        <w:rPr>
          <w:rFonts w:hint="eastAsia"/>
          <w:b/>
          <w:bCs/>
        </w:rPr>
        <w:t>一是长链路与多轮交互导致消耗呈指数级放大。</w:t>
      </w:r>
      <w:r>
        <w:rPr>
          <w:rFonts w:hint="eastAsia"/>
        </w:rPr>
        <w:t>在业财一体化实时洞察与利润模拟场景中，模型需进行多轮数据归集、规则匹配与动态核算；在全局资源调度场景中，智能体需自动拆解复杂任务、调用数字沙盘进行多因素关联分析与风险收益评估，此类多Agent协作与长链路执行使得单次决策任务的Token消耗量可达常规对话的数十倍乃至上百倍。</w:t>
      </w:r>
    </w:p>
    <w:p w14:paraId="42DB106E">
      <w:pPr>
        <w:ind w:firstLine="643"/>
      </w:pPr>
      <w:r>
        <w:rPr>
          <w:rFonts w:hint="eastAsia"/>
          <w:b/>
          <w:bCs/>
        </w:rPr>
        <w:t>二是高算力与高价值场景催生结构性“通胀”。</w:t>
      </w:r>
      <w:r>
        <w:rPr>
          <w:rFonts w:hint="eastAsia"/>
        </w:rPr>
        <w:t>智能经营决策涉及复杂的战略推演、生产调度与市场预测，需调用高参数量的旗舰模型或专业决策底座以保障分析结果的准确性与专业性，导致单次推演成本较高；同时，微观层面的实时成本核算与毛利预测使用频次极高，而宏观层面的全局资源调度虽频次较低但单次消耗巨大，形成明显的消耗分层特征。</w:t>
      </w:r>
    </w:p>
    <w:p w14:paraId="09637EFC">
      <w:pPr>
        <w:ind w:firstLine="643"/>
      </w:pPr>
      <w:r>
        <w:rPr>
          <w:rFonts w:hint="eastAsia"/>
          <w:b/>
          <w:bCs/>
        </w:rPr>
        <w:t>三是无效调用与数据冗余加剧隐性成本浪费。</w:t>
      </w:r>
      <w:r>
        <w:rPr>
          <w:rFonts w:hint="eastAsia"/>
        </w:rPr>
        <w:t>在实时归集业务与财务数据时，若缺乏统一的数据语义与检索优化，智能体易陷入重复的数据发现与过度检索；此外，在生成图文并茂的分析简报或进行任务拆解时，若缺乏有效的缓存机制与Prompt治理，大量重复请求、失败重试及无关上下文的输入将产生大量未转化为实际业务价值的无效Token消耗。</w:t>
      </w:r>
    </w:p>
    <w:p w14:paraId="67BDFECC">
      <w:pPr>
        <w:ind w:firstLine="643"/>
        <w:rPr>
          <w:b/>
          <w:bCs/>
        </w:rPr>
      </w:pPr>
      <w:r>
        <w:rPr>
          <w:rFonts w:hint="eastAsia"/>
          <w:b/>
          <w:bCs/>
        </w:rPr>
        <w:t>（2）Token管理侧重点</w:t>
      </w:r>
    </w:p>
    <w:p w14:paraId="35CA2ACD">
      <w:pPr>
        <w:ind w:firstLine="643"/>
      </w:pPr>
      <w:r>
        <w:rPr>
          <w:rFonts w:hint="eastAsia"/>
          <w:b/>
          <w:bCs/>
        </w:rPr>
        <w:t>实施精细化的分层路由与预算治理。</w:t>
      </w:r>
      <w:r>
        <w:rPr>
          <w:rFonts w:hint="eastAsia"/>
        </w:rPr>
        <w:t>针对业财实时洞察的高频微观场景与全局资源调度的低频宏观场景，需建立智能路由机制，动态匹配不同参数与算力要求的模型以平衡成本与效果；同时，将Token管理粒度从“项目级”下沉至“员工级”或“业务场景级”，通过设置部门或应用维度的Token预算与调用策略，实现从粗放式消耗向透明化、可量化的精细化运营转变。</w:t>
      </w:r>
    </w:p>
    <w:p w14:paraId="3025CA7B">
      <w:pPr>
        <w:ind w:firstLine="643"/>
      </w:pPr>
      <w:r>
        <w:rPr>
          <w:rFonts w:hint="eastAsia"/>
          <w:b/>
          <w:bCs/>
        </w:rPr>
        <w:t>强化数据底层治理与全链路成本溯源。</w:t>
      </w:r>
      <w:r>
        <w:rPr>
          <w:rFonts w:hint="eastAsia"/>
        </w:rPr>
        <w:t>通过统一业务语义、规范数据接口与部署语义缓存，避免智能体在业财数据归集中的重复试错与无效检索；建立覆盖统一入口、模型网关、Token计量与账单结算的一体化运营体系，精准追踪Token在订单核算、资源调度等具体业务环节的流向，将Token消耗与业务价值指标深度挂钩，如预测准确率、决策响应速度。</w:t>
      </w:r>
    </w:p>
    <w:p w14:paraId="1FB33A75">
      <w:pPr>
        <w:ind w:firstLine="643"/>
      </w:pPr>
      <w:r>
        <w:rPr>
          <w:rFonts w:hint="eastAsia"/>
          <w:b/>
          <w:bCs/>
        </w:rPr>
        <w:t>建立以业务价值为导向的效果评估机制。</w:t>
      </w:r>
      <w:r>
        <w:rPr>
          <w:rFonts w:hint="eastAsia"/>
        </w:rPr>
        <w:t>摒弃单纯以消耗量衡量AI效能的误区，将Token管理从“看账单”升级为“算经营账”；重点评估Token投入在预测式经营与敏捷决策中带来的实际业务增量，如单位会话成本下降、交付周期缩短或资源配置效率提升，通过持续的效果归因分析，识别并优化高价值决策场景的模型组合，确保每一分Token投入都能转化为确定性的经营决策价值。</w:t>
      </w:r>
    </w:p>
    <w:p w14:paraId="58B38E9F">
      <w:pPr>
        <w:pStyle w:val="4"/>
        <w:numPr>
          <w:ilvl w:val="0"/>
          <w:numId w:val="3"/>
        </w:numPr>
        <w:ind w:left="-3" w:firstLine="643" w:firstLineChars="0"/>
      </w:pPr>
      <w:bookmarkStart w:id="100" w:name="_Toc16880"/>
      <w:r>
        <w:rPr>
          <w:rFonts w:hint="eastAsia"/>
        </w:rPr>
        <w:t>数智精益管理</w:t>
      </w:r>
      <w:bookmarkEnd w:id="100"/>
    </w:p>
    <w:p w14:paraId="0F7E20F1">
      <w:pPr>
        <w:ind w:firstLine="640"/>
      </w:pPr>
      <w:r>
        <w:rPr>
          <w:rFonts w:hint="eastAsia"/>
        </w:rPr>
        <w:t>数智精益管理的模型应用主要包括以下场景：一是全要素绩效精准核算与瓶颈识别。模型将精益管理理念与大数据分析深度融合，实时打通“人机料法环”数据，精准核算资源利用率与生产节拍，自动识别并量化停机损失、效率损失等关键瓶颈环节。二是持续改善策略的生成与优化。基于对海量生产数据的根因分析，模型能够自动诊断异常原因并生成针对性的改善建议，如优化排产策略、调整操作参数，推动精益管理从人工观测记录向数字化、自动化的“诊断—改善—固化”闭环演进。</w:t>
      </w:r>
    </w:p>
    <w:p w14:paraId="3CC6F138">
      <w:pPr>
        <w:ind w:firstLine="643"/>
        <w:rPr>
          <w:b/>
          <w:bCs/>
        </w:rPr>
      </w:pPr>
      <w:r>
        <w:rPr>
          <w:b/>
          <w:bCs/>
        </w:rPr>
        <w:t>（1）Token</w:t>
      </w:r>
      <w:r>
        <w:rPr>
          <w:rFonts w:hint="eastAsia"/>
          <w:b/>
          <w:bCs/>
        </w:rPr>
        <w:t>消耗</w:t>
      </w:r>
      <w:r>
        <w:rPr>
          <w:b/>
          <w:bCs/>
        </w:rPr>
        <w:t>特征</w:t>
      </w:r>
    </w:p>
    <w:p w14:paraId="002B1F37">
      <w:pPr>
        <w:ind w:firstLine="643"/>
      </w:pPr>
      <w:r>
        <w:rPr>
          <w:b/>
          <w:bCs/>
        </w:rPr>
        <w:t>一是全要素数据注入导致上下文冗长。</w:t>
      </w:r>
      <w:r>
        <w:t>模型在实时打通</w:t>
      </w:r>
      <w:r>
        <w:rPr>
          <w:rFonts w:hint="eastAsia"/>
        </w:rPr>
        <w:t>“</w:t>
      </w:r>
      <w:r>
        <w:t>人机料法环</w:t>
      </w:r>
      <w:r>
        <w:rPr>
          <w:rFonts w:hint="eastAsia"/>
        </w:rPr>
        <w:t>”</w:t>
      </w:r>
      <w:r>
        <w:t>数据时，需将海量的设备运行参数、人员排班、物料流转及环境监控等多模态原始数据作为背景信息输入，导致单次推理的上下文长度激增，</w:t>
      </w:r>
      <w:r>
        <w:rPr>
          <w:rFonts w:hint="eastAsia"/>
        </w:rPr>
        <w:t>产生</w:t>
      </w:r>
      <w:r>
        <w:t>无效Token消耗。</w:t>
      </w:r>
    </w:p>
    <w:p w14:paraId="3882E795">
      <w:pPr>
        <w:ind w:firstLine="643"/>
      </w:pPr>
      <w:r>
        <w:rPr>
          <w:b/>
          <w:bCs/>
        </w:rPr>
        <w:t>二是多轮根因诊断引发链式消耗。</w:t>
      </w:r>
      <w:r>
        <w:t>在持续改善策略生成与异常诊断场景中，模型需经历</w:t>
      </w:r>
      <w:r>
        <w:rPr>
          <w:rFonts w:hint="eastAsia"/>
        </w:rPr>
        <w:t>“</w:t>
      </w:r>
      <w:r>
        <w:t>数据查询—逻辑比对—假设验证—策略生成</w:t>
      </w:r>
      <w:r>
        <w:rPr>
          <w:rFonts w:hint="eastAsia"/>
        </w:rPr>
        <w:t>”</w:t>
      </w:r>
      <w:r>
        <w:t>的多次迭代与自我反思，这种长链路的Agent协同推理与多步工具调用，使得Token消耗呈指数级放大。</w:t>
      </w:r>
    </w:p>
    <w:p w14:paraId="1013C238">
      <w:pPr>
        <w:ind w:firstLine="643"/>
      </w:pPr>
      <w:r>
        <w:rPr>
          <w:b/>
          <w:bCs/>
        </w:rPr>
        <w:t>三是高价值场景的算力成本错配。</w:t>
      </w:r>
      <w:r>
        <w:t>全要素绩效核算与瓶颈识别对数据准确性与逻辑严密性要求极高，往往需要调用高算力、高成本的强模型进行复杂推理，而部分常规数据清洗或格式化工作若未做模型分级，易造成用概率推理解决确定性问题的Token浪费。</w:t>
      </w:r>
    </w:p>
    <w:p w14:paraId="5B94A7F1">
      <w:pPr>
        <w:ind w:firstLine="643"/>
      </w:pPr>
      <w:r>
        <w:rPr>
          <w:rFonts w:hint="eastAsia"/>
          <w:b/>
          <w:bCs/>
        </w:rPr>
        <w:t>（2）Token管理侧重点</w:t>
      </w:r>
    </w:p>
    <w:p w14:paraId="19EAF8DB">
      <w:pPr>
        <w:ind w:left="220" w:firstLine="519" w:firstLineChars="162"/>
      </w:pPr>
      <w:r>
        <w:rPr>
          <w:rFonts w:hint="eastAsia"/>
          <w:b/>
          <w:bCs/>
        </w:rPr>
        <w:t>强化数据底层的语义治理与前置过滤。</w:t>
      </w:r>
      <w:r>
        <w:rPr>
          <w:rFonts w:hint="eastAsia"/>
        </w:rPr>
        <w:t>在数据进入模型前，通过工程化手段完成“人机料法环”数据的清洗、关联与结构化转换，避免将本应由数据库或传统软件完成的确定性计算交由大模型处理，从源头拦截过度检索与冗余数据注入带来的无效Token消耗。</w:t>
      </w:r>
    </w:p>
    <w:p w14:paraId="4CAEB4F4">
      <w:pPr>
        <w:ind w:left="220" w:firstLine="519" w:firstLineChars="162"/>
      </w:pPr>
      <w:r>
        <w:rPr>
          <w:rFonts w:hint="eastAsia"/>
          <w:b/>
          <w:bCs/>
        </w:rPr>
        <w:t>实施精细化的模型路由与任务分级调度。</w:t>
      </w:r>
      <w:r>
        <w:rPr>
          <w:rFonts w:hint="eastAsia"/>
        </w:rPr>
        <w:t>针对精益管理中的不同任务节点建立智能路由机制，将简单的参数调整与数据提取降级至轻量级模型或传统算法处理，仅将复杂的根因分析与改善策略生成交由强模型执行，通过“大小模型协同”实现Token成本与业务价值的精准匹配。</w:t>
      </w:r>
    </w:p>
    <w:p w14:paraId="7CD75A17">
      <w:pPr>
        <w:ind w:left="220" w:firstLine="519" w:firstLineChars="162"/>
      </w:pPr>
      <w:r>
        <w:rPr>
          <w:rFonts w:hint="eastAsia"/>
          <w:b/>
          <w:bCs/>
        </w:rPr>
        <w:t>建立基于业务产出的Token价值归因体系。</w:t>
      </w:r>
      <w:r>
        <w:rPr>
          <w:rFonts w:hint="eastAsia"/>
        </w:rPr>
        <w:t>打破单纯以消耗量为核心的成本核算逻辑，将Token消耗与“停机损失降低率”“设备综合效率（OEE）提升”等精益管理核心指标深度绑定，通过构建“诊断—改善—固化”闭环的ROI评估模型，确保Token投入切实转化为可量化的生产效能提升。</w:t>
      </w:r>
    </w:p>
    <w:p w14:paraId="323CAF3E">
      <w:pPr>
        <w:pStyle w:val="4"/>
        <w:numPr>
          <w:ilvl w:val="0"/>
          <w:numId w:val="3"/>
        </w:numPr>
        <w:ind w:left="-3" w:firstLine="643" w:firstLineChars="0"/>
      </w:pPr>
      <w:bookmarkStart w:id="101" w:name="_Toc5808"/>
      <w:r>
        <w:rPr>
          <w:rFonts w:hint="eastAsia"/>
        </w:rPr>
        <w:t>供应链风险预警与调度</w:t>
      </w:r>
      <w:bookmarkEnd w:id="101"/>
    </w:p>
    <w:p w14:paraId="4BB229F5">
      <w:pPr>
        <w:ind w:firstLine="640"/>
      </w:pPr>
      <w:r>
        <w:rPr>
          <w:rFonts w:hint="eastAsia"/>
        </w:rPr>
        <w:t>供应链风险预警与调度模型应用主要包括以下场景：一是全链路风险知识图谱与影响推演。模型整合气象预警、港口拥堵、供应商舆情等内外部多维数据，构建“项目—物料—供应商—物流”关联网络，不仅能精准识别单一风险点，还能自动推理其对下游产能及交付的级联影响。二是智能调度与供应网络自主修复。在触发风险预警后，模型通过预案模拟仿真与资源智能匹配，自动生成包含启用备选供应商、调整物流路线或切换安全库存在内的分级响应预案，实现从被动救火向主动预判与自主修复的闭环。</w:t>
      </w:r>
    </w:p>
    <w:p w14:paraId="129B7545">
      <w:pPr>
        <w:ind w:firstLine="643"/>
        <w:rPr>
          <w:b/>
          <w:bCs/>
        </w:rPr>
      </w:pPr>
      <w:r>
        <w:rPr>
          <w:b/>
          <w:bCs/>
        </w:rPr>
        <w:t>（1）Token</w:t>
      </w:r>
      <w:r>
        <w:rPr>
          <w:rFonts w:hint="eastAsia"/>
          <w:b/>
          <w:bCs/>
        </w:rPr>
        <w:t>消耗</w:t>
      </w:r>
      <w:r>
        <w:rPr>
          <w:b/>
          <w:bCs/>
        </w:rPr>
        <w:t>特征</w:t>
      </w:r>
    </w:p>
    <w:p w14:paraId="15EF057A">
      <w:pPr>
        <w:ind w:firstLine="643"/>
      </w:pPr>
      <w:r>
        <w:rPr>
          <w:rFonts w:hint="eastAsia"/>
          <w:b/>
          <w:bCs/>
        </w:rPr>
        <w:t>一是图谱构建与多模态数据融合消耗巨大。</w:t>
      </w:r>
      <w:r>
        <w:rPr>
          <w:rFonts w:hint="eastAsia"/>
        </w:rPr>
        <w:t>在构建全链路风险知识图谱阶段，模型需处理气象预警、港口拥堵数据及供应商舆情等非结构化文本与结构化数据，进行实体抽取与关系对齐，这一过程涉及海量上下文窗口的占用，是Token消耗的峰值时刻。</w:t>
      </w:r>
    </w:p>
    <w:p w14:paraId="06DE2A6D">
      <w:pPr>
        <w:ind w:firstLine="643"/>
      </w:pPr>
      <w:r>
        <w:rPr>
          <w:rFonts w:hint="eastAsia"/>
          <w:b/>
          <w:bCs/>
        </w:rPr>
        <w:t>二是长链路推理与级联影响计算的持续高耗。</w:t>
      </w:r>
      <w:r>
        <w:rPr>
          <w:rFonts w:hint="eastAsia"/>
        </w:rPr>
        <w:t>在进行影响推演时，模型需要维持“项目—物料—供应商—物流”长链条的上下文关联，通过多跳推理计算单一风险点对下游产能的级联效应，随着网络节点增加，推理过程中的Token吞吐量呈指数级上升。</w:t>
      </w:r>
    </w:p>
    <w:p w14:paraId="4D806343">
      <w:pPr>
        <w:ind w:firstLine="643"/>
      </w:pPr>
      <w:r>
        <w:rPr>
          <w:rFonts w:hint="eastAsia"/>
          <w:b/>
          <w:bCs/>
        </w:rPr>
        <w:t>三是多预案仿真模拟带来的并发消耗。</w:t>
      </w:r>
      <w:r>
        <w:rPr>
          <w:rFonts w:hint="eastAsia"/>
        </w:rPr>
        <w:t>在智能调度与自主修复阶段，模型需同时模拟启用备选供应商、调整物流路线等多种场景，每一次预案生成与资源匹配都是一次完整的生成式推理过程，高频次的仿真计算导致Token消耗具有明显的脉冲式并发消耗特征。</w:t>
      </w:r>
    </w:p>
    <w:p w14:paraId="1C23FE26">
      <w:pPr>
        <w:ind w:firstLine="643"/>
      </w:pPr>
      <w:r>
        <w:rPr>
          <w:rFonts w:hint="eastAsia"/>
          <w:b/>
          <w:bCs/>
        </w:rPr>
        <w:t>（2）Token管理侧重点</w:t>
      </w:r>
    </w:p>
    <w:p w14:paraId="4D66EB46">
      <w:pPr>
        <w:ind w:firstLine="643"/>
      </w:pPr>
      <w:r>
        <w:rPr>
          <w:rFonts w:hint="eastAsia"/>
          <w:b/>
          <w:bCs/>
        </w:rPr>
        <w:t>全链路知识图谱的向量化与动态更新。</w:t>
      </w:r>
      <w:r>
        <w:rPr>
          <w:rFonts w:hint="eastAsia"/>
        </w:rPr>
        <w:t>管理重心在于如何高效维护“项目—物料—供应商—物流”关联网络的实时性，通过向量数据库技术减少模型对历史静态数据的重复读取，确保模型仅将算力集中在增量风险数据与关键路径的推理上。</w:t>
      </w:r>
    </w:p>
    <w:p w14:paraId="3F66BFFF">
      <w:pPr>
        <w:ind w:firstLine="643"/>
      </w:pPr>
      <w:r>
        <w:rPr>
          <w:rFonts w:hint="eastAsia"/>
          <w:b/>
          <w:bCs/>
        </w:rPr>
        <w:t>推理精度的阈值设定与噪声过滤。</w:t>
      </w:r>
      <w:r>
        <w:rPr>
          <w:rFonts w:hint="eastAsia"/>
        </w:rPr>
        <w:t>重点在于平衡风险识别的敏感度与Token成本，优化模型对气象、舆情等外部噪声数据的过滤机制，避免因过度解读微弱信号而触发不必要的长链路级联推演，从而在保障预警准确率的前提下控制推理Token的浪费。</w:t>
      </w:r>
    </w:p>
    <w:p w14:paraId="76A19885">
      <w:pPr>
        <w:ind w:firstLine="643"/>
      </w:pPr>
      <w:r>
        <w:rPr>
          <w:rFonts w:hint="eastAsia"/>
          <w:b/>
          <w:bCs/>
        </w:rPr>
        <w:t>预案生成的结构化约束与响应时效。</w:t>
      </w:r>
      <w:r>
        <w:rPr>
          <w:rFonts w:hint="eastAsia"/>
        </w:rPr>
        <w:t>在调度与修复环节，管理侧重点在于约束模型输出符合供应链执行标准的结构化指令，如具体的库存切换量、物流路由代码，减少开放式生成的冗余Token，确保从风险触发到预案生成的闭环响应速度满足实时调度要求。</w:t>
      </w:r>
    </w:p>
    <w:p w14:paraId="5B540BDA">
      <w:pPr>
        <w:pStyle w:val="3"/>
        <w:numPr>
          <w:ilvl w:val="0"/>
          <w:numId w:val="4"/>
        </w:numPr>
      </w:pPr>
      <w:bookmarkStart w:id="102" w:name="_Toc19702"/>
      <w:bookmarkStart w:id="103" w:name="_Toc4525"/>
      <w:r>
        <w:rPr>
          <w:rFonts w:hint="eastAsia"/>
        </w:rPr>
        <w:t>研发仿真类</w:t>
      </w:r>
      <w:bookmarkEnd w:id="102"/>
      <w:bookmarkEnd w:id="103"/>
    </w:p>
    <w:p w14:paraId="1C2A3C30">
      <w:pPr>
        <w:ind w:firstLine="640"/>
      </w:pPr>
      <w:r>
        <w:rPr>
          <w:rFonts w:hint="eastAsia"/>
        </w:rPr>
        <w:t>仿真研发类场景以三维建模、方案推导与虚拟推演为模型调用模式，此类场景推理结论决定研发方案可行性、生产制造成本与投产周期，但仅作用于研发设计阶段，对推理实时性、毫秒级响应的硬性约束较弱。管理侧重点以中长期研发预算总量管控为基础，在控制研发数字化投入成本的前提下，平衡仿真方案输出精度与算力资源消耗效率，以研发方案完整可靠为核心目标，成本约束与业务效能统筹兼顾。</w:t>
      </w:r>
    </w:p>
    <w:p w14:paraId="598E49A4">
      <w:pPr>
        <w:pStyle w:val="4"/>
        <w:numPr>
          <w:ilvl w:val="0"/>
          <w:numId w:val="3"/>
        </w:numPr>
        <w:ind w:left="-3" w:firstLine="643" w:firstLineChars="0"/>
      </w:pPr>
      <w:bookmarkStart w:id="104" w:name="_Toc1454"/>
      <w:bookmarkStart w:id="105" w:name="_Toc22725"/>
      <w:bookmarkStart w:id="106" w:name="_Toc11418"/>
      <w:r>
        <w:rPr>
          <w:rFonts w:hint="eastAsia"/>
        </w:rPr>
        <w:t>产品数字化设计</w:t>
      </w:r>
      <w:bookmarkEnd w:id="104"/>
      <w:bookmarkEnd w:id="105"/>
    </w:p>
    <w:p w14:paraId="2D113CAC">
      <w:pPr>
        <w:ind w:firstLine="640"/>
      </w:pPr>
      <w:r>
        <w:rPr>
          <w:rFonts w:hint="eastAsia"/>
        </w:rPr>
        <w:t>产品数字化设计的模型应用主要包括以下场景：一是自然语言驱动生成式设计。用户只需输入文本描述，模型即可直接生成精确的3D设计模型，大幅降低了CAD的使用门槛。二是工业知识检索与合规校验。针对工业知识数字化程度低、非结构化数据难以复用的痛点，利用RAG等技术，模型可以解析包含复杂图表、公式的设计规范或手册，实现从人工检索到智能问答的升级，辅助用户获取参数并自动进行合规校验。</w:t>
      </w:r>
    </w:p>
    <w:p w14:paraId="6C75DCA4">
      <w:pPr>
        <w:ind w:firstLine="643"/>
        <w:rPr>
          <w:b/>
          <w:bCs/>
        </w:rPr>
      </w:pPr>
      <w:r>
        <w:rPr>
          <w:b/>
          <w:bCs/>
        </w:rPr>
        <w:t>（1）Token</w:t>
      </w:r>
      <w:r>
        <w:rPr>
          <w:rFonts w:hint="eastAsia"/>
          <w:b/>
          <w:bCs/>
        </w:rPr>
        <w:t>消耗</w:t>
      </w:r>
      <w:r>
        <w:rPr>
          <w:b/>
          <w:bCs/>
        </w:rPr>
        <w:t>特征</w:t>
      </w:r>
    </w:p>
    <w:p w14:paraId="60C73D2F">
      <w:pPr>
        <w:ind w:firstLine="643"/>
        <w:rPr>
          <w:b/>
          <w:bCs/>
        </w:rPr>
      </w:pPr>
      <w:r>
        <w:rPr>
          <w:rFonts w:hint="eastAsia"/>
          <w:b/>
          <w:bCs/>
        </w:rPr>
        <w:t>一</w:t>
      </w:r>
      <w:r>
        <w:rPr>
          <w:b/>
          <w:bCs/>
        </w:rPr>
        <w:t>是工业知识库体量庞大，静态基线Token开销占比显著偏高</w:t>
      </w:r>
      <w:r>
        <w:t>。</w:t>
      </w:r>
      <w:r>
        <w:rPr>
          <w:rFonts w:hint="eastAsia"/>
        </w:rPr>
        <w:t>产品合规校验、知识问答依托RAG加载全套设计规范、零部件手册、力学计算公式、行业标准文档开展推理，其专业文本术语密集、图表配套说明文字繁杂，每次业务调用均需重复载入知识库片段形成固定基线文本，常态化基线Token消耗成为整体Token用量的核心组成部分。</w:t>
      </w:r>
    </w:p>
    <w:p w14:paraId="3CBE781E">
      <w:pPr>
        <w:ind w:firstLine="643"/>
      </w:pPr>
      <w:r>
        <w:rPr>
          <w:rFonts w:hint="eastAsia"/>
          <w:b/>
          <w:bCs/>
        </w:rPr>
        <w:t>二</w:t>
      </w:r>
      <w:r>
        <w:rPr>
          <w:b/>
          <w:bCs/>
        </w:rPr>
        <w:t>是人工交互驱动请求流量分布平缓，无瞬时批量Token尖峰与重尾特征</w:t>
      </w:r>
      <w:r>
        <w:t>。</w:t>
      </w:r>
      <w:r>
        <w:rPr>
          <w:rFonts w:hint="eastAsia"/>
        </w:rPr>
        <w:t>请求由设计师手动按需发起，交互节奏跟随研发工作时长均匀分散，不存在产线批量缺陷同步触发推理的事件驱动型流量。仅项目集中评审、大批量图纸统一校验阶段会出现Token消耗小幅抬升，不存在秒级海量并发请求，Token流量无极端峰值，整体负载曲线平稳</w:t>
      </w:r>
      <w:r>
        <w:t>。</w:t>
      </w:r>
    </w:p>
    <w:p w14:paraId="1270CDEF">
      <w:pPr>
        <w:ind w:firstLine="640"/>
      </w:pPr>
      <w:r>
        <w:rPr>
          <w:rFonts w:hint="eastAsia"/>
        </w:rPr>
        <w:t>三</w:t>
      </w:r>
      <w:r>
        <w:rPr>
          <w:b/>
          <w:bCs/>
        </w:rPr>
        <w:t>是生成式建模任务存在高输出Token特征，输入输出双向消耗失衡</w:t>
      </w:r>
      <w:r>
        <w:t>。</w:t>
      </w:r>
      <w:r>
        <w:rPr>
          <w:rFonts w:hint="eastAsia"/>
        </w:rPr>
        <w:t>自然语言生成3D模型环节，用户仅输入一段产品描述文本，但模型需要输出完整结构化建模指令、装配约束、尺寸参数集合，输出文本篇幅远大于输入内容，形成“输入短、输出长”的Token消耗结构。</w:t>
      </w:r>
    </w:p>
    <w:p w14:paraId="012E128D">
      <w:pPr>
        <w:ind w:firstLine="643"/>
      </w:pPr>
      <w:r>
        <w:rPr>
          <w:rFonts w:hint="eastAsia"/>
          <w:b/>
          <w:bCs/>
        </w:rPr>
        <w:t>四是不同任务Token消耗区间两极分化，负载差异界限清晰</w:t>
      </w:r>
      <w:r>
        <w:rPr>
          <w:rFonts w:hint="eastAsia"/>
        </w:rPr>
        <w:t>。轻量化单条参数查询、简易合规核验仅需短文本输入输出，单次Token总量极低；而批量图纸合规审查、长约束文本驱动三维建模、跨多份手册综合知识推理任务，需要拼接多份标准文档、完整结构描述与尺寸约束，输入输出叠加形成超长上下文，单次Token消耗量级大幅抬升，高低负载任务随机交错发起，造成整体Token负载波动分化明显。</w:t>
      </w:r>
    </w:p>
    <w:p w14:paraId="2A5561F5">
      <w:pPr>
        <w:ind w:firstLine="643"/>
        <w:rPr>
          <w:b/>
          <w:bCs/>
        </w:rPr>
      </w:pPr>
      <w:r>
        <w:rPr>
          <w:rFonts w:hint="eastAsia"/>
          <w:b/>
          <w:bCs/>
        </w:rPr>
        <w:t>（2）Token管理侧重点</w:t>
      </w:r>
    </w:p>
    <w:p w14:paraId="3B3915F7">
      <w:pPr>
        <w:ind w:firstLine="643"/>
      </w:pPr>
      <w:r>
        <w:rPr>
          <w:rFonts w:hint="eastAsia"/>
          <w:b/>
          <w:bCs/>
        </w:rPr>
        <w:t>建立知识库分层缓存与精简机制。</w:t>
      </w:r>
      <w:r>
        <w:rPr>
          <w:rFonts w:hint="eastAsia"/>
        </w:rPr>
        <w:t>一是对行业通用设计规范、基础力学公式等高频复用文档片段做全局缓存，在本地部署架构中将基线知识库预加载至显存，公有云架构下通过Prompt缓存接口复用固定知识库文本，避免每轮推理重复加载完整文档产生重复Token损耗。二是对知识库实施分段切片检索，RAG检索环节仅召回与当前设计任务强相关的局部文档片段，摒弃全量手册拼接上下文，从源头压缩基线文本长度。三是统一梳理工业文档冗余通用条款、重复标注说明，提前完成知识库文本去重精简，在不丢失合规校验依据的前提下降低稳态基线Token规模。</w:t>
      </w:r>
    </w:p>
    <w:p w14:paraId="1E653F01">
      <w:pPr>
        <w:ind w:firstLine="643"/>
      </w:pPr>
      <w:r>
        <w:rPr>
          <w:rFonts w:hint="eastAsia"/>
          <w:b/>
          <w:bCs/>
        </w:rPr>
        <w:t>实施轻量化调度与错峰管控策略。</w:t>
      </w:r>
      <w:r>
        <w:rPr>
          <w:rFonts w:hint="eastAsia"/>
        </w:rPr>
        <w:t>公有云部署模式下，将大批量图纸合规审查等高Token消耗任务调度至非工作时段执行，平抑日间研发时段的计费消耗；本地部署模式下，无需配置突发流量缓冲队列，仅针对项目集中评审阶段临时扩充算力资源配额，保障设计师日常交互低时延。同时取消严苛的瞬时并发限流规则，避免人工交互式单次设计操作被限制，兼顾研发操作流畅性。</w:t>
      </w:r>
    </w:p>
    <w:p w14:paraId="21D3D92D">
      <w:pPr>
        <w:ind w:firstLine="643"/>
      </w:pPr>
      <w:r>
        <w:rPr>
          <w:rFonts w:hint="eastAsia"/>
          <w:b/>
          <w:bCs/>
        </w:rPr>
        <w:t>设置差异化输出长度管控规则。</w:t>
      </w:r>
      <w:r>
        <w:rPr>
          <w:rFonts w:hint="eastAsia"/>
        </w:rPr>
        <w:t>一是为生成式建模任务配置自适应输出Token上限，根据产品复杂度动态调整建模指令输出篇幅，杜绝无限制生成冗余装配参数。二是区分任务类型分配Token预算，知识问答类均衡任务放宽输出限制，三维生成任务建立输出Token预警机制。公有云场景下规避高额输出计费，本地场景下减少长文本推理带来的显存占用。</w:t>
      </w:r>
    </w:p>
    <w:p w14:paraId="691461DF">
      <w:pPr>
        <w:ind w:firstLine="643"/>
      </w:pPr>
      <w:r>
        <w:rPr>
          <w:rFonts w:hint="eastAsia"/>
          <w:b/>
          <w:bCs/>
        </w:rPr>
        <w:t>实施分级路由与配额隔离策略</w:t>
      </w:r>
      <w:r>
        <w:rPr>
          <w:rFonts w:hint="eastAsia"/>
        </w:rPr>
        <w:t>。一是建立任务智能分流机制，简单参数检索、基础合规校验下沉至轻量化小模型，仅复杂综合推理、三维生成任务调度高阶大模型，消除低负载任务调用大模型产生的无效Token消耗。二是设置分层配额机制，对轻量查询、批量校验、3D建模三类任务划分独立Token资源配额，公有云架构下分配独立月度调用预算，本地部署架构下划分专属算力资源池，防止高Token消耗的建模、批量审查任务持续占用资源，保障设计师高频轻量化查询的响应优先级。</w:t>
      </w:r>
    </w:p>
    <w:p w14:paraId="5FAB5280">
      <w:pPr>
        <w:pStyle w:val="4"/>
        <w:numPr>
          <w:ilvl w:val="0"/>
          <w:numId w:val="3"/>
        </w:numPr>
        <w:ind w:left="-3" w:firstLine="643" w:firstLineChars="0"/>
      </w:pPr>
      <w:bookmarkStart w:id="107" w:name="_Toc15693"/>
      <w:bookmarkStart w:id="108" w:name="_Toc1254"/>
      <w:r>
        <w:rPr>
          <w:rFonts w:hint="eastAsia"/>
        </w:rPr>
        <w:t>工艺数字化设计</w:t>
      </w:r>
      <w:bookmarkEnd w:id="107"/>
      <w:bookmarkEnd w:id="108"/>
    </w:p>
    <w:p w14:paraId="17FE5CF9">
      <w:pPr>
        <w:numPr>
          <w:ilvl w:val="255"/>
          <w:numId w:val="0"/>
        </w:numPr>
        <w:ind w:firstLine="640"/>
      </w:pPr>
      <w:r>
        <w:rPr>
          <w:rFonts w:hint="eastAsia"/>
        </w:rPr>
        <w:t>工艺数字化设计模型应用主要包括以下场景</w:t>
      </w:r>
      <w:r>
        <w:t>：</w:t>
      </w:r>
      <w:r>
        <w:rPr>
          <w:rFonts w:hint="eastAsia"/>
        </w:rPr>
        <w:t>一是工艺知识库构建与合规校验。利用RAG技术解析非结构化规范文档，辅助获取关键工艺参数并进行合规性校验，降低人工查阅工作量。二是工艺路线智能生成。基于BOM、三维模型属性与历史案例，自动推理生成涵盖工序、设备与工时的多套工艺路线方案，支持直接导入下游系统。三是工艺参数推优与文档管理。预测不同参数组合下的质量与成本表现以推荐最优方案；辅助生成SOP等文档，并在设计变更时自动生成关联文件的更新清单。</w:t>
      </w:r>
    </w:p>
    <w:p w14:paraId="5D2C5DCF">
      <w:pPr>
        <w:numPr>
          <w:ilvl w:val="255"/>
          <w:numId w:val="0"/>
        </w:numPr>
        <w:ind w:firstLine="640"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（1）Token消耗特征</w:t>
      </w:r>
    </w:p>
    <w:p w14:paraId="4050127F">
      <w:pPr>
        <w:numPr>
          <w:ilvl w:val="255"/>
          <w:numId w:val="0"/>
        </w:numPr>
        <w:ind w:firstLine="640"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一是工艺标准知识库体系繁杂，长效RAG检索带来高占比基线Token开销。</w:t>
      </w:r>
      <w:r>
        <w:rPr>
          <w:rFonts w:hint="eastAsia"/>
          <w:color w:val="000000" w:themeColor="text1"/>
          <w14:textFill>
            <w14:solidFill>
              <w14:schemeClr w14:val="tx1"/>
            </w14:solidFill>
          </w14:textFill>
        </w:rPr>
        <w:t>工艺合规校验、参数查询依赖RAG加载完整工艺规范、设备操作规程、行业加工标准、安全管控条款等海量非结构化文档，文档包含大量加工公差、设备参数、工序约束等高密度专业文本。每一次工艺校验、参数咨询都会重复调取知识库片段作为推理前置上下文，形成固定基线文本；相较于通用设计文档，工艺标准细分至各加工工序、设备类型，文档数量更多、细分条款更细碎，基线Token消耗在总消耗量中占比长期居高不下，形成稳定持续的基础Token负载。</w:t>
      </w:r>
    </w:p>
    <w:p w14:paraId="71EA6C61">
      <w:pPr>
        <w:numPr>
          <w:ilvl w:val="255"/>
          <w:numId w:val="0"/>
        </w:numPr>
        <w:ind w:firstLine="640"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二是多源数据融合推理催生超长拼接上下文，任务间Token消耗两极分化</w:t>
      </w:r>
      <w:r>
        <w:rPr>
          <w:rFonts w:hint="eastAsia"/>
          <w:color w:val="000000" w:themeColor="text1"/>
          <w14:textFill>
            <w14:solidFill>
              <w14:schemeClr w14:val="tx1"/>
            </w14:solidFill>
          </w14:textFill>
        </w:rPr>
        <w:t>。工艺路线生成、工艺参数多方案推优任务需要同时整合三维模型属性、BOM物料清单、历史加工案例、设备产能约束、质量标准多类异构文本数据，多源信息拼接后形成超长输入上下文，单次推理Token消耗量级极高；而单条工艺参数查询、简易合规核验仅需简短提问与局部标准比对，单次Token体量极低。轻量化查询与多源融合生成任务随机穿插执行，两类任务Token规模差距显著，整体Token负载波动分化特征突出。</w:t>
      </w:r>
    </w:p>
    <w:p w14:paraId="4442ADC8">
      <w:pPr>
        <w:numPr>
          <w:ilvl w:val="255"/>
          <w:numId w:val="0"/>
        </w:numPr>
        <w:ind w:firstLine="640"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三是输出Token远大于输入的消耗失衡特征。</w:t>
      </w:r>
      <w:r>
        <w:rPr>
          <w:rFonts w:hint="eastAsia"/>
          <w:color w:val="000000" w:themeColor="text1"/>
          <w14:textFill>
            <w14:solidFill>
              <w14:schemeClr w14:val="tx1"/>
            </w14:solidFill>
          </w14:textFill>
        </w:rPr>
        <w:t>用户仅输入BOM、基础产品属性等简短输入信息，模型需要输出完整工序排布、设备选型、工时测算、操作步骤、质量检验要求等结构化长文本方案，输出文本篇幅、Token总量数倍于输入内容，形成“短输入、长输出”的失衡消耗结构，拉高单任务整体Token占用。</w:t>
      </w:r>
    </w:p>
    <w:p w14:paraId="691403F5">
      <w:pPr>
        <w:numPr>
          <w:ilvl w:val="255"/>
          <w:numId w:val="0"/>
        </w:numPr>
        <w:ind w:firstLine="640" w:firstLineChars="200"/>
      </w:pPr>
      <w:r>
        <w:rPr>
          <w:rFonts w:hint="eastAsia"/>
          <w:b/>
          <w:bCs/>
          <w:color w:val="000000" w:themeColor="text1"/>
          <w14:textFill>
            <w14:solidFill>
              <w14:schemeClr w14:val="tx1"/>
            </w14:solidFill>
          </w14:textFill>
        </w:rPr>
        <w:t>四是常规交互流量平缓，无突发瞬时并发Token尖峰。</w:t>
      </w:r>
      <w:r>
        <w:rPr>
          <w:rFonts w:hint="eastAsia"/>
          <w:color w:val="000000" w:themeColor="text1"/>
          <w14:textFill>
            <w14:solidFill>
              <w14:schemeClr w14:val="tx1"/>
            </w14:solidFill>
          </w14:textFill>
        </w:rPr>
        <w:t>日常工艺查标准、单参数咨询、简易工艺微调等常规操作由工艺工程师手动按需发起，请求节奏跟随研发工作时段均匀分散，不存在事件驱动的海量同步推理需求。仅项目批量工艺标准化、工艺集中变更阶段出现Token消耗小幅抬升，无秒级海量并发请求，流量曲线整体平稳，不存在重尾分布的极端峰值负载。</w:t>
      </w:r>
    </w:p>
    <w:p w14:paraId="2FA9868B">
      <w:pPr>
        <w:numPr>
          <w:ilvl w:val="255"/>
          <w:numId w:val="0"/>
        </w:numPr>
        <w:ind w:firstLine="640"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（2）Token管理侧重点</w:t>
      </w:r>
    </w:p>
    <w:p w14:paraId="2EF37537">
      <w:pPr>
        <w:numPr>
          <w:ilvl w:val="255"/>
          <w:numId w:val="0"/>
        </w:numPr>
        <w:ind w:firstLine="640" w:firstLineChars="200"/>
      </w:pPr>
      <w:r>
        <w:rPr>
          <w:rFonts w:hint="eastAsia"/>
          <w:b/>
          <w:bCs/>
        </w:rPr>
        <w:t>搭建知识库分层缓存与切片检索轻量化管控机制</w:t>
      </w:r>
      <w:r>
        <w:rPr>
          <w:rFonts w:hint="eastAsia"/>
        </w:rPr>
        <w:t>。区分知识检索、合规校验、工艺路线生成、SOP生成、变更影响分析等场景，采用精简工程术语与标准化输出格式，统一字段顺序与表格结构，压缩输入输出文本Token体量。定期基于工艺人员反馈与运行日志淘汰低效模板。</w:t>
      </w:r>
    </w:p>
    <w:p w14:paraId="2FBB0D06">
      <w:pPr>
        <w:numPr>
          <w:ilvl w:val="255"/>
          <w:numId w:val="0"/>
        </w:numPr>
        <w:ind w:firstLine="640" w:firstLineChars="200"/>
      </w:pPr>
      <w:r>
        <w:rPr>
          <w:rFonts w:hint="eastAsia"/>
          <w:b/>
          <w:bCs/>
        </w:rPr>
        <w:t>建立任务分级路由与独立配额隔离机制</w:t>
      </w:r>
      <w:r>
        <w:rPr>
          <w:rFonts w:hint="eastAsia"/>
        </w:rPr>
        <w:t>。一是单参数查询、简易合规核验下沉至轻量化小模型，仅工艺路线生成、多参数方案推优等多源融合任务调度高阶大模型，消除低复杂度任务调用大模型产生的无效Token损耗。二是公有云架构下为两类任务分配独立月度Token预算，本地部署架构设置专属算力资源池，限制批量工艺生成任务的并发上限。三是超长上下文自动分片拆分，对整合BOM、三维模型、历史案例的超长推理请求分段执行，降低单次推理峰值Token负载，平衡整体资源波动。</w:t>
      </w:r>
    </w:p>
    <w:p w14:paraId="4211E98B">
      <w:pPr>
        <w:numPr>
          <w:ilvl w:val="255"/>
          <w:numId w:val="0"/>
        </w:numPr>
        <w:ind w:firstLine="640" w:firstLineChars="200"/>
      </w:pPr>
      <w:r>
        <w:rPr>
          <w:rFonts w:hint="eastAsia"/>
          <w:b/>
          <w:bCs/>
        </w:rPr>
        <w:t>设置生成式任务自适应输出约束策略。</w:t>
      </w:r>
      <w:r>
        <w:rPr>
          <w:rFonts w:hint="eastAsia"/>
        </w:rPr>
        <w:t>一是配置任务差异化输出Token上限，为工艺路线生成、参数推优任务设置自适应输出长度阈值，避免无限制生成冗余工序描述、重复检验条款；二是统一工艺输出结构化模板，固化工序、工时、设备参数的标准化表述格式，剔除输出文本中非必要修饰语句，压缩输出文本体量；三是搭建输出Token预警机制，公有云场景用于控制大额计费消耗，本地部署场景缓解长文本推理带来的显存占用，缩短模型推理时延。</w:t>
      </w:r>
    </w:p>
    <w:p w14:paraId="17763DDA">
      <w:pPr>
        <w:numPr>
          <w:ilvl w:val="255"/>
          <w:numId w:val="0"/>
        </w:numPr>
        <w:ind w:firstLine="640" w:firstLineChars="200"/>
      </w:pPr>
      <w:r>
        <w:rPr>
          <w:rFonts w:hint="eastAsia"/>
          <w:b/>
          <w:bCs/>
        </w:rPr>
        <w:t>简化限流规则，聚焦批量变更任务错峰调度。</w:t>
      </w:r>
      <w:r>
        <w:rPr>
          <w:rFonts w:hint="eastAsia"/>
        </w:rPr>
        <w:t>一是放开日常工程师零散查询的并发限制，保障工艺参数检索、简易微调操作的实时响应。二是针对项目批量标准化、集中工艺改版等高Token消耗工作，公有云架构下调度至夜间低峰时段执行，平抑日间计费峰值；本地部署架构可在批量任务时段临时扩容算力配额，无需长期预留冗余硬件资源。三是取消重尾流量应急熔断机制，仅设置批量任务总量阈值，兼顾研发操作流畅性与资源使用效率。</w:t>
      </w:r>
    </w:p>
    <w:p w14:paraId="3CAD53BF">
      <w:pPr>
        <w:pStyle w:val="4"/>
        <w:numPr>
          <w:ilvl w:val="0"/>
          <w:numId w:val="3"/>
        </w:numPr>
        <w:ind w:left="-3" w:firstLine="643" w:firstLineChars="0"/>
      </w:pPr>
      <w:bookmarkStart w:id="109" w:name="_Toc2046"/>
      <w:bookmarkStart w:id="110" w:name="_Toc16259"/>
      <w:r>
        <w:rPr>
          <w:rFonts w:hint="eastAsia"/>
        </w:rPr>
        <w:t>数字孪生工厂建设</w:t>
      </w:r>
      <w:bookmarkEnd w:id="109"/>
      <w:bookmarkEnd w:id="110"/>
    </w:p>
    <w:p w14:paraId="4A9AD4D5">
      <w:pPr>
        <w:ind w:firstLine="640"/>
        <w:rPr>
          <w:b/>
          <w:bCs/>
        </w:rPr>
      </w:pPr>
      <w:r>
        <w:rPr>
          <w:rFonts w:hint="eastAsia"/>
        </w:rPr>
        <w:t>数字孪生工厂建设模型应用主要包括以下场景</w:t>
      </w:r>
      <w:r>
        <w:t>：</w:t>
      </w:r>
      <w:r>
        <w:rPr>
          <w:rFonts w:hint="eastAsia"/>
        </w:rPr>
        <w:t>一是设备级数字孪生。通过设备级数字孪生模型，可以实现物理设备的动态映射，实时展示设备的三维定位、运行状态及关键运行参数，不仅可实现设备健康度评估、设备预测性维护、设备异常预警和根因溯源等效果，还能与工艺参数联动，实现工艺参数根据设备状态的自适应优化。二是产线级数字孪生。通过构建产线级数字孪生模型，可以实现在虚拟环境中模拟真实的生产节拍、物流动线和人员配置，实现智能物流调度、虚拟试产与产线规划验证、生产调度优化等效果。三是工厂级数字孪生。新建工厂通过数字化交付，现役工厂通过激光扫描智能重建构建工厂级数字孪生，可以实现工厂真实竣工几何基准，消除图纸与现场的偏差，把几何模型和机理模型叠加实现OTS培训应对操作员代际更替，同时通过数字孪生体的进化实现智能工厂的进化。</w:t>
      </w:r>
    </w:p>
    <w:p w14:paraId="36E59287">
      <w:pPr>
        <w:ind w:firstLine="643"/>
        <w:rPr>
          <w:b/>
          <w:bCs/>
        </w:rPr>
      </w:pPr>
      <w:r>
        <w:rPr>
          <w:rFonts w:hint="eastAsia"/>
          <w:b/>
          <w:bCs/>
        </w:rPr>
        <w:t>（1）Token消耗特征</w:t>
      </w:r>
    </w:p>
    <w:p w14:paraId="3D11FC6F">
      <w:pPr>
        <w:ind w:firstLine="643"/>
      </w:pPr>
      <w:r>
        <w:rPr>
          <w:rFonts w:hint="eastAsia"/>
          <w:b/>
          <w:bCs/>
        </w:rPr>
        <w:t>一是ReAct推理</w:t>
      </w:r>
      <w:r>
        <w:rPr>
          <w:rFonts w:hint="eastAsia"/>
          <w:b/>
          <w:bCs/>
          <w:vertAlign w:val="superscript"/>
        </w:rPr>
        <w:t>22</w:t>
      </w:r>
      <w:r>
        <w:rPr>
          <w:rFonts w:hint="eastAsia"/>
          <w:b/>
          <w:bCs/>
        </w:rPr>
        <w:t>范式导致单次任务Token消耗量大。</w:t>
      </w:r>
      <w:r>
        <w:rPr>
          <w:rFonts w:hint="eastAsia"/>
        </w:rPr>
        <w:t>与传统大语言模型的“一问一答”不同，数字孪生工厂建设侧重于任务执行，模型需采用“思考—行动—观察”的ReAct循环架构。即模型或Agent需在分析当前状态的基础上，决定下一步做什么，并调用外部工具，再读取工具返回的结果，作为下一轮思考的依据。在此架构下，排产优化、故障根因分析等高度复杂的系统工程需经数十轮“读取数据—机理仿真—方案评估—冲突调整”的迭代循环，并且频繁调用ERP、MES、IoT传感器等外部系统，才可实现效果。同时，由于每一轮的操作记录与报错信息均会作为上下文传入下一轮推理，Token消耗随循环深度持续累积；加之循环终止条件高度依赖任务复杂度，导致单次任务的消耗量难以提前预估。</w:t>
      </w:r>
    </w:p>
    <w:p w14:paraId="42B647BC">
      <w:pPr>
        <w:ind w:firstLine="643"/>
      </w:pPr>
      <w:r>
        <w:rPr>
          <w:rFonts w:hint="eastAsia"/>
          <w:b/>
          <w:bCs/>
        </w:rPr>
        <w:t>二是IT与OT异构数据融合驱动长链路推演下的Token消耗</w:t>
      </w:r>
      <w:r>
        <w:rPr>
          <w:rFonts w:hint="eastAsia"/>
        </w:rPr>
        <w:t>。数字孪生的核心价值之一就是建立“数字主线”，实现全生命周期的数据追溯。在此过程中，大模型面临的不是单一维度的问答，而是跨模态、跨系统的复杂逻辑对齐。模型需要将ERP中的结构化数据、OT层的时序数据以及工程侧的非结构化文本进行深度关联。由于这种跨域关联无法通过简单的检索完成，模型必须进行长链路的逻辑推演，以在异构数据间建立起严密的因果链条。这种深度的思维过程会产生海量的中间推理步骤，从而导致单次构建数字主线任务的推理Token消耗量呈指数级上升。</w:t>
      </w:r>
    </w:p>
    <w:p w14:paraId="1B08D417">
      <w:pPr>
        <w:ind w:firstLine="643"/>
      </w:pPr>
      <w:r>
        <w:rPr>
          <w:rFonts w:hint="eastAsia"/>
          <w:b/>
          <w:bCs/>
        </w:rPr>
        <w:t>三是多智能体协同带来Token消耗量大</w:t>
      </w:r>
      <w:r>
        <w:rPr>
          <w:rFonts w:hint="eastAsia"/>
        </w:rPr>
        <w:t>。工厂级数字孪生往往不是单一模型在工作，而是调度Agent、质检Agent、物流Agent等多个智能体协同。在多智能体工作流中，任务分配、状态同步等额外流程使成本进一步放大。完成标准任务时，多智能体系统的Token消耗量可达单智能体的15倍以上。</w:t>
      </w:r>
    </w:p>
    <w:p w14:paraId="39D5E079">
      <w:pPr>
        <w:ind w:firstLine="643" w:firstLineChars="0"/>
        <w:rPr>
          <w:b/>
          <w:bCs/>
        </w:rPr>
      </w:pPr>
      <w:r>
        <w:rPr>
          <w:rFonts w:hint="eastAsia"/>
          <w:b/>
          <w:bCs/>
        </w:rPr>
        <w:t>（2）Token管理侧重点</w:t>
      </w:r>
    </w:p>
    <w:p w14:paraId="27346619">
      <w:pPr>
        <w:numPr>
          <w:ilvl w:val="255"/>
          <w:numId w:val="0"/>
        </w:numPr>
        <w:ind w:firstLine="643"/>
      </w:pPr>
      <w:r>
        <w:rPr>
          <w:rFonts w:hint="eastAsia"/>
          <w:b/>
          <w:bCs/>
        </w:rPr>
        <w:t>实施推理循环截断与上下文动态裁剪。</w:t>
      </w:r>
      <w:r>
        <w:rPr>
          <w:rFonts w:hint="eastAsia"/>
        </w:rPr>
        <w:t>一是针对排产优化、故障诊断等长链路任务，在系统层设定最大ReAct循环轮数上限与Token消耗预算熔断机制。当循环超过预设阈值仍未收敛时，强制触发人工介入或降级为传统规则引擎，防止因任务复杂度不可预估导致的Token无上限消耗。二是摒弃全量历史消息拼接模式，采用“摘要+关键状态”的增量上下文管理。仅将当前步骤的核心观察结果与决策依据传入下一轮推理，对过往的操作记录、报错信息进行语义压缩或归档，阻断Token随循环深度的滚雪球式累积。三是ERP、MES等系统返回的海量JSON或报表数据，严禁全量塞入Prompt，必须经中间件提取关键字段后再喂给模型，从源头降低单次推理的输入Token基数。</w:t>
      </w:r>
    </w:p>
    <w:p w14:paraId="79CCF89E">
      <w:pPr>
        <w:numPr>
          <w:ilvl w:val="255"/>
          <w:numId w:val="0"/>
        </w:numPr>
        <w:ind w:firstLine="643"/>
      </w:pPr>
      <w:r>
        <w:rPr>
          <w:rFonts w:hint="eastAsia"/>
          <w:b/>
          <w:bCs/>
        </w:rPr>
        <w:t>前置数据对齐与固化推理路径</w:t>
      </w:r>
      <w:r>
        <w:rPr>
          <w:rFonts w:hint="eastAsia"/>
        </w:rPr>
        <w:t>。一是将ERP物料编码、OT设备点位、工程文档等非结构化数据的关联关系，在推理前通过知识图谱或矢量数据库完成预映射。大模型在构建数字主线时，直接调用预对齐的实体关系，避免在推理过程中消耗海量Token进行跨模态的逻辑对齐。二是针对数字主线构建等高频长链路任务，设置固化标准的推演路径与输出格式，限制模型在异构数据对齐时的自由发挥空间，减少因发散性思考产生的无效中间Token，确保推理过程聚焦于核心因果验证。</w:t>
      </w:r>
    </w:p>
    <w:p w14:paraId="0E23F027">
      <w:pPr>
        <w:numPr>
          <w:ilvl w:val="255"/>
          <w:numId w:val="0"/>
        </w:numPr>
        <w:ind w:firstLine="643"/>
      </w:pPr>
      <w:r>
        <w:rPr>
          <w:rFonts w:hint="eastAsia"/>
          <w:b/>
          <w:bCs/>
        </w:rPr>
        <w:t>优化多Agent协作通信与分层路由机制</w:t>
      </w:r>
      <w:r>
        <w:rPr>
          <w:rFonts w:hint="eastAsia"/>
        </w:rPr>
        <w:t>。一是在多智能体工作流中，摒弃自然语言作为Agent间交互的载体，改用精简的结构化指令进行任务分配与状态同步。大幅压缩协同过程中的通信Token，使多智能体系统的额外开销控制在合理区间。二是建立“大模型统筹+小模型/规则执行”的分层架构。将调度、质检、物流等Agent中的标准化、高频次任务下沉至边缘侧小模型或传统控制算法，大模型仅作为“异常接管”与“跨域协调”的兜底节点，从架构上降低多智能体协同对大模型Token的依赖度。</w:t>
      </w:r>
    </w:p>
    <w:bookmarkEnd w:id="106"/>
    <w:p w14:paraId="47C98094">
      <w:pPr>
        <w:pStyle w:val="2"/>
        <w:ind w:firstLine="640"/>
      </w:pPr>
      <w:bookmarkStart w:id="111" w:name="_Toc12723"/>
      <w:bookmarkStart w:id="112" w:name="_Toc4001"/>
      <w:bookmarkStart w:id="113" w:name="_Toc2458"/>
      <w:r>
        <w:rPr>
          <w:rFonts w:hint="eastAsia"/>
        </w:rPr>
        <w:t>四、企业Token管理制度建议</w:t>
      </w:r>
      <w:bookmarkEnd w:id="111"/>
      <w:bookmarkEnd w:id="112"/>
      <w:bookmarkEnd w:id="113"/>
    </w:p>
    <w:p w14:paraId="35491196">
      <w:pPr>
        <w:pStyle w:val="3"/>
        <w:numPr>
          <w:ilvl w:val="0"/>
          <w:numId w:val="5"/>
        </w:numPr>
        <w:ind w:firstLineChars="0"/>
        <w:rPr>
          <w:color w:val="000000" w:themeColor="text1"/>
          <w:lang w:bidi="ar"/>
          <w14:textFill>
            <w14:solidFill>
              <w14:schemeClr w14:val="tx1"/>
            </w14:solidFill>
          </w14:textFill>
        </w:rPr>
      </w:pPr>
      <w:bookmarkStart w:id="114" w:name="_Toc11080"/>
      <w:bookmarkStart w:id="115" w:name="_Toc22718"/>
      <w:bookmarkStart w:id="116" w:name="_Toc26309"/>
      <w:r>
        <w:rPr>
          <w:rFonts w:hint="eastAsia"/>
          <w:color w:val="000000" w:themeColor="text1"/>
          <w:lang w:bidi="ar"/>
          <w14:textFill>
            <w14:solidFill>
              <w14:schemeClr w14:val="tx1"/>
            </w14:solidFill>
          </w14:textFill>
        </w:rPr>
        <w:t>构建跨部门协同管理架构</w:t>
      </w:r>
      <w:bookmarkEnd w:id="114"/>
      <w:bookmarkEnd w:id="115"/>
      <w:bookmarkEnd w:id="116"/>
    </w:p>
    <w:p w14:paraId="430D3F1B">
      <w:pPr>
        <w:ind w:firstLine="64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鼓励企业结合自身经营规模、模型应用风险等级搭建适配的Token协同管理组织体系。</w:t>
      </w:r>
      <w:r>
        <w:rPr>
          <w:rFonts w:hint="eastAsia"/>
          <w:b/>
          <w:bCs/>
          <w:color w:val="000000" w:themeColor="text1"/>
          <w:lang w:bidi="ar"/>
          <w14:textFill>
            <w14:solidFill>
              <w14:schemeClr w14:val="tx1"/>
            </w14:solidFill>
          </w14:textFill>
        </w:rPr>
        <w:t>建议大型制造企业搭建完整跨部门协同治理架构</w:t>
      </w:r>
      <w:r>
        <w:rPr>
          <w:rFonts w:hint="eastAsia"/>
          <w:color w:val="000000" w:themeColor="text1"/>
          <w:lang w:bidi="ar"/>
          <w14:textFill>
            <w14:solidFill>
              <w14:schemeClr w14:val="tx1"/>
            </w14:solidFill>
          </w14:textFill>
        </w:rPr>
        <w:t>。由企业经营管理层牵头设置Token管理委员会，统筹算力资源、成本管控、数据安全全维度工作。下设技术架构、业务运营和安全合规三个专职工作组，同步吸纳生产工艺部门作为常设协同单位，建立月度例会、风险专项评审、安全事故联合复盘常态化协同机制。其中，技术架构组由数字化或IT部门主导，负责搭建Token运营管控平台、配置智能模型路由、管控系统权限，保障底层算力集群、外部配额API稳定运行，落地限流、熔断、应急算力预热等技术管控策略。业务运营组由财务及各业务部门协同，负责制定业务ROI评估标准，统筹日常Token配额的审批、分发与绩效考核。安全合规组由法务或信息安全部门等相关部门组成，负责制定数据分类分级标准，严格审核调用场景的数据出域与隐私合规风险，管理审计日志。</w:t>
      </w:r>
    </w:p>
    <w:p w14:paraId="19F005CE">
      <w:pPr>
        <w:ind w:firstLine="643"/>
        <w:rPr>
          <w:color w:val="000000" w:themeColor="text1"/>
          <w:lang w:bidi="ar"/>
          <w14:textFill>
            <w14:solidFill>
              <w14:schemeClr w14:val="tx1"/>
            </w14:solidFill>
          </w14:textFill>
        </w:rPr>
      </w:pPr>
      <w:r>
        <w:rPr>
          <w:rFonts w:hint="eastAsia"/>
          <w:b/>
          <w:bCs/>
          <w:color w:val="000000" w:themeColor="text1"/>
          <w:lang w:bidi="ar"/>
          <w14:textFill>
            <w14:solidFill>
              <w14:schemeClr w14:val="tx1"/>
            </w14:solidFill>
          </w14:textFill>
        </w:rPr>
        <w:t>建议中小企业实施风险分层轻量化管理模式</w:t>
      </w:r>
      <w:r>
        <w:rPr>
          <w:rFonts w:hint="eastAsia"/>
          <w:color w:val="000000" w:themeColor="text1"/>
          <w:lang w:bidi="ar"/>
          <w14:textFill>
            <w14:solidFill>
              <w14:schemeClr w14:val="tx1"/>
            </w14:solidFill>
          </w14:textFill>
        </w:rPr>
        <w:t>。若企业内部只涉及低风险应用场景，可采用简化组织模式，需搭建专项协同组织，明确数字化部门为归口管理主体，采用简化Token消耗台账、线上极简审批流程，聚焦基础用量统计与通用数据防护；若内部涉及中风险应用场景，建立数字化、财务、安全岗位常态化沟通机制，按需组建跨部门兼职工作小组，完善Token消耗明细台账、调用额度审批流程，每季度开展成本、使用效能复盘；若内部涉及高风险应用场景，不简化管控流程，参照大型企业全流程管理标准落地，可依托现有岗位人员组成兼职工作小组，落实分级配额审批、全量消耗台账、持续性安全审计、定期工业数据风险核查，严格管控Token交互过程中敏感工艺、工控数据泄露风险。</w:t>
      </w:r>
    </w:p>
    <w:p w14:paraId="79104D6D">
      <w:pPr>
        <w:pStyle w:val="3"/>
        <w:numPr>
          <w:ilvl w:val="0"/>
          <w:numId w:val="5"/>
        </w:numPr>
        <w:ind w:firstLineChars="0"/>
        <w:rPr>
          <w:color w:val="000000" w:themeColor="text1"/>
          <w:lang w:bidi="ar"/>
          <w14:textFill>
            <w14:solidFill>
              <w14:schemeClr w14:val="tx1"/>
            </w14:solidFill>
          </w14:textFill>
        </w:rPr>
      </w:pPr>
      <w:bookmarkStart w:id="117" w:name="_Toc23472"/>
      <w:bookmarkStart w:id="118" w:name="_Toc22812"/>
      <w:bookmarkStart w:id="119" w:name="_Toc20873"/>
      <w:r>
        <w:rPr>
          <w:rFonts w:hint="eastAsia"/>
          <w:color w:val="000000" w:themeColor="text1"/>
          <w:lang w:bidi="ar"/>
          <w14:textFill>
            <w14:solidFill>
              <w14:schemeClr w14:val="tx1"/>
            </w14:solidFill>
          </w14:textFill>
        </w:rPr>
        <w:t>实施基于角色的访问控制</w:t>
      </w:r>
      <w:bookmarkEnd w:id="117"/>
      <w:bookmarkEnd w:id="118"/>
      <w:bookmarkEnd w:id="119"/>
    </w:p>
    <w:p w14:paraId="3483E35A">
      <w:pPr>
        <w:ind w:firstLine="64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实现调用、审批、治理的权责分离。普通员工仅分配基础配额，开放常规任务调用权限并设置月度消耗上限；业务管理者分配进阶配额，开放复杂推理权限，并赋予部门内部额度调配权；系统管理员拥有全局管控权限，负责配置路由策略与熔断机制，但需遵循职责分离原则，不直接发起业务调用。同时，设置临时提权审批，普通员工因突发任务需突破配额时，需通过系统发起申请，经直属主管与安全合规审批后，系统发放有明确有效期的Token配额。</w:t>
      </w:r>
    </w:p>
    <w:p w14:paraId="645B1A54">
      <w:pPr>
        <w:pStyle w:val="3"/>
        <w:numPr>
          <w:ilvl w:val="0"/>
          <w:numId w:val="5"/>
        </w:numPr>
        <w:ind w:firstLineChars="0"/>
        <w:rPr>
          <w:color w:val="000000" w:themeColor="text1"/>
          <w:lang w:bidi="ar"/>
          <w14:textFill>
            <w14:solidFill>
              <w14:schemeClr w14:val="tx1"/>
            </w14:solidFill>
          </w14:textFill>
        </w:rPr>
      </w:pPr>
      <w:bookmarkStart w:id="120" w:name="_Toc10551"/>
      <w:bookmarkStart w:id="121" w:name="_Toc28765"/>
      <w:r>
        <w:rPr>
          <w:rFonts w:hint="eastAsia"/>
          <w:color w:val="000000" w:themeColor="text1"/>
          <w:lang w:bidi="ar"/>
          <w14:textFill>
            <w14:solidFill>
              <w14:schemeClr w14:val="tx1"/>
            </w14:solidFill>
          </w14:textFill>
        </w:rPr>
        <w:t>构建动态的配额管控体系</w:t>
      </w:r>
      <w:bookmarkEnd w:id="120"/>
      <w:bookmarkEnd w:id="121"/>
    </w:p>
    <w:p w14:paraId="079A0613">
      <w:pPr>
        <w:ind w:firstLine="640"/>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建立标准化消耗测算与基准核定。依托Token预算分析工具，对各类任务进行基准测试，测算标准Token消耗量作为核定依据，并预留一定规模的配额作为安全缓冲。针对突发任务，建立临时提权审批流，经直属主管与安全合规审批后，发放有明确有效期的临时配额。建立基于业务优先级的动态配额调度。摒弃单纯以技术指标考核配额的做法，将Token配额与产线节拍、业务波峰波谷动态绑定。对直接影响生产连续性的核心任务赋予最高优先级并设立专属Token池；对非实时任务实行弹性配额与错峰调度，防止资源挤兑。</w:t>
      </w:r>
    </w:p>
    <w:p w14:paraId="746DE1BD">
      <w:pPr>
        <w:pStyle w:val="3"/>
        <w:numPr>
          <w:ilvl w:val="0"/>
          <w:numId w:val="5"/>
        </w:numPr>
        <w:ind w:firstLineChars="0"/>
        <w:rPr>
          <w:color w:val="000000" w:themeColor="text1"/>
          <w:lang w:bidi="ar"/>
          <w14:textFill>
            <w14:solidFill>
              <w14:schemeClr w14:val="tx1"/>
            </w14:solidFill>
          </w14:textFill>
        </w:rPr>
      </w:pPr>
      <w:bookmarkStart w:id="122" w:name="_Toc28860"/>
      <w:bookmarkStart w:id="123" w:name="_Toc2887"/>
      <w:bookmarkStart w:id="124" w:name="_Toc15855"/>
      <w:r>
        <w:rPr>
          <w:rFonts w:hint="eastAsia"/>
          <w:color w:val="000000" w:themeColor="text1"/>
          <w:lang w:bidi="ar"/>
          <w14:textFill>
            <w14:solidFill>
              <w14:schemeClr w14:val="tx1"/>
            </w14:solidFill>
          </w14:textFill>
        </w:rPr>
        <w:t>建立标准化管理闭环流程</w:t>
      </w:r>
      <w:bookmarkEnd w:id="122"/>
      <w:bookmarkEnd w:id="123"/>
      <w:bookmarkEnd w:id="124"/>
    </w:p>
    <w:p w14:paraId="2DF6043F">
      <w:pPr>
        <w:ind w:firstLine="640"/>
        <w:rPr>
          <w:color w:val="C00000"/>
          <w:lang w:bidi="ar"/>
        </w:rPr>
      </w:pPr>
      <w:r>
        <w:rPr>
          <w:rFonts w:hint="eastAsia"/>
          <w:color w:val="000000" w:themeColor="text1"/>
          <w:lang w:bidi="ar"/>
          <w14:textFill>
            <w14:solidFill>
              <w14:schemeClr w14:val="tx1"/>
            </w14:solidFill>
          </w14:textFill>
        </w:rPr>
        <w:t>在事前申请阶段，</w:t>
      </w:r>
      <w:r>
        <w:rPr>
          <w:color w:val="000000" w:themeColor="text1"/>
          <w:lang w:bidi="ar"/>
          <w14:textFill>
            <w14:solidFill>
              <w14:schemeClr w14:val="tx1"/>
            </w14:solidFill>
          </w14:textFill>
        </w:rPr>
        <w:t>业务部门提交</w:t>
      </w:r>
      <w:r>
        <w:rPr>
          <w:rFonts w:hint="eastAsia"/>
          <w:color w:val="000000" w:themeColor="text1"/>
          <w:lang w:bidi="ar"/>
          <w14:textFill>
            <w14:solidFill>
              <w14:schemeClr w14:val="tx1"/>
            </w14:solidFill>
          </w14:textFill>
        </w:rPr>
        <w:t>含场景说明、预期ROI、预估消耗等信息的</w:t>
      </w:r>
      <w:r>
        <w:rPr>
          <w:color w:val="000000" w:themeColor="text1"/>
          <w:lang w:bidi="ar"/>
          <w14:textFill>
            <w14:solidFill>
              <w14:schemeClr w14:val="tx1"/>
            </w14:solidFill>
          </w14:textFill>
        </w:rPr>
        <w:t>调用申请</w:t>
      </w:r>
      <w:r>
        <w:rPr>
          <w:rFonts w:hint="eastAsia"/>
          <w:color w:val="000000" w:themeColor="text1"/>
          <w:lang w:bidi="ar"/>
          <w14:textFill>
            <w14:solidFill>
              <w14:schemeClr w14:val="tx1"/>
            </w14:solidFill>
          </w14:textFill>
        </w:rPr>
        <w:t>，</w:t>
      </w:r>
      <w:r>
        <w:rPr>
          <w:color w:val="000000" w:themeColor="text1"/>
          <w:lang w:bidi="ar"/>
          <w14:textFill>
            <w14:solidFill>
              <w14:schemeClr w14:val="tx1"/>
            </w14:solidFill>
          </w14:textFill>
        </w:rPr>
        <w:t>安全合规组审核数据风险</w:t>
      </w:r>
      <w:r>
        <w:rPr>
          <w:rFonts w:hint="eastAsia"/>
          <w:color w:val="000000" w:themeColor="text1"/>
          <w:lang w:bidi="ar"/>
          <w14:textFill>
            <w14:solidFill>
              <w14:schemeClr w14:val="tx1"/>
            </w14:solidFill>
          </w14:textFill>
        </w:rPr>
        <w:t>，</w:t>
      </w:r>
      <w:r>
        <w:rPr>
          <w:color w:val="000000" w:themeColor="text1"/>
          <w:lang w:bidi="ar"/>
          <w14:textFill>
            <w14:solidFill>
              <w14:schemeClr w14:val="tx1"/>
            </w14:solidFill>
          </w14:textFill>
        </w:rPr>
        <w:t>业务运营组核定配额</w:t>
      </w:r>
      <w:r>
        <w:rPr>
          <w:rFonts w:hint="eastAsia"/>
          <w:color w:val="000000" w:themeColor="text1"/>
          <w:lang w:bidi="ar"/>
          <w14:textFill>
            <w14:solidFill>
              <w14:schemeClr w14:val="tx1"/>
            </w14:solidFill>
          </w14:textFill>
        </w:rPr>
        <w:t>，</w:t>
      </w:r>
      <w:r>
        <w:rPr>
          <w:color w:val="000000" w:themeColor="text1"/>
          <w:lang w:bidi="ar"/>
          <w14:textFill>
            <w14:solidFill>
              <w14:schemeClr w14:val="tx1"/>
            </w14:solidFill>
          </w14:textFill>
        </w:rPr>
        <w:t>技术架构组分配专属API Key</w:t>
      </w:r>
      <w:r>
        <w:rPr>
          <w:rFonts w:hint="eastAsia"/>
          <w:color w:val="000000" w:themeColor="text1"/>
          <w:lang w:bidi="ar"/>
          <w14:textFill>
            <w14:solidFill>
              <w14:schemeClr w14:val="tx1"/>
            </w14:solidFill>
          </w14:textFill>
        </w:rPr>
        <w:t>，从源头控制Token体量与合规风险</w:t>
      </w:r>
      <w:r>
        <w:rPr>
          <w:color w:val="000000" w:themeColor="text1"/>
          <w:lang w:bidi="ar"/>
          <w14:textFill>
            <w14:solidFill>
              <w14:schemeClr w14:val="tx1"/>
            </w14:solidFill>
          </w14:textFill>
        </w:rPr>
        <w:t>。</w:t>
      </w:r>
      <w:r>
        <w:rPr>
          <w:rFonts w:hint="eastAsia"/>
          <w:color w:val="000000" w:themeColor="text1"/>
          <w:lang w:bidi="ar"/>
          <w14:textFill>
            <w14:solidFill>
              <w14:schemeClr w14:val="tx1"/>
            </w14:solidFill>
          </w14:textFill>
        </w:rPr>
        <w:t>在事中监控阶段，</w:t>
      </w:r>
      <w:r>
        <w:rPr>
          <w:color w:val="000000" w:themeColor="text1"/>
          <w:lang w:bidi="ar"/>
          <w14:textFill>
            <w14:solidFill>
              <w14:schemeClr w14:val="tx1"/>
            </w14:solidFill>
          </w14:textFill>
        </w:rPr>
        <w:t>系统实时监控Token消耗流，一旦逼近预算红线</w:t>
      </w:r>
      <w:r>
        <w:rPr>
          <w:rFonts w:hint="eastAsia"/>
          <w:color w:val="000000" w:themeColor="text1"/>
          <w:lang w:bidi="ar"/>
          <w14:textFill>
            <w14:solidFill>
              <w14:schemeClr w14:val="tx1"/>
            </w14:solidFill>
          </w14:textFill>
        </w:rPr>
        <w:t>、触发单次调用超限或出现短时并发突增，自动触发熔断机制中断请求，并向项目负责人推送告警，坚决杜绝成本失控</w:t>
      </w:r>
      <w:r>
        <w:rPr>
          <w:color w:val="000000" w:themeColor="text1"/>
          <w:lang w:bidi="ar"/>
          <w14:textFill>
            <w14:solidFill>
              <w14:schemeClr w14:val="tx1"/>
            </w14:solidFill>
          </w14:textFill>
        </w:rPr>
        <w:t>。</w:t>
      </w:r>
      <w:r>
        <w:rPr>
          <w:rFonts w:hint="eastAsia"/>
          <w:color w:val="000000" w:themeColor="text1"/>
          <w:lang w:bidi="ar"/>
          <w14:textFill>
            <w14:solidFill>
              <w14:schemeClr w14:val="tx1"/>
            </w14:solidFill>
          </w14:textFill>
        </w:rPr>
        <w:t>在事后审计阶段，</w:t>
      </w:r>
      <w:r>
        <w:rPr>
          <w:color w:val="000000" w:themeColor="text1"/>
          <w:lang w:bidi="ar"/>
          <w14:textFill>
            <w14:solidFill>
              <w14:schemeClr w14:val="tx1"/>
            </w14:solidFill>
          </w14:textFill>
        </w:rPr>
        <w:t>建立请求级成本归因体系，</w:t>
      </w:r>
      <w:r>
        <w:rPr>
          <w:rFonts w:hint="eastAsia"/>
          <w:color w:val="000000" w:themeColor="text1"/>
          <w:lang w:bidi="ar"/>
          <w14:textFill>
            <w14:solidFill>
              <w14:schemeClr w14:val="tx1"/>
            </w14:solidFill>
          </w14:textFill>
        </w:rPr>
        <w:t>将Token消耗精细分摊至具体任务、工段或部门，每月输出Token消耗账单。将Token消耗与真实业务产出挂钩，构建“单位业务效能Token成本”指标，对高耗低效场景强制要求整改、降级模型或关停，确保Token投入转化为实际业务价值。</w:t>
      </w:r>
    </w:p>
    <w:p w14:paraId="058A463C">
      <w:pPr>
        <w:ind w:firstLine="0" w:firstLineChars="0"/>
      </w:pPr>
    </w:p>
    <w:p w14:paraId="75B4C674">
      <w:pPr>
        <w:ind w:firstLine="0" w:firstLineChars="0"/>
        <w:sectPr>
          <w:footerReference r:id="rId12" w:type="default"/>
          <w:endnotePr>
            <w:numFmt w:val="decimal"/>
          </w:endnotePr>
          <w:pgSz w:w="11906" w:h="16838"/>
          <w:pgMar w:top="1814" w:right="1531" w:bottom="1985" w:left="1531" w:header="851" w:footer="992" w:gutter="0"/>
          <w:pgNumType w:start="1"/>
          <w:cols w:space="425" w:num="1"/>
          <w:docGrid w:type="lines" w:linePitch="312" w:charSpace="0"/>
        </w:sectPr>
      </w:pPr>
    </w:p>
    <w:p w14:paraId="652F67C6">
      <w:pPr>
        <w:pStyle w:val="2"/>
        <w:ind w:firstLine="0" w:firstLineChars="0"/>
        <w:jc w:val="left"/>
      </w:pPr>
      <w:bookmarkStart w:id="125" w:name="_Toc18100"/>
      <w:bookmarkStart w:id="126" w:name="_Toc11660"/>
      <w:bookmarkStart w:id="127" w:name="_Toc10848"/>
      <w:r>
        <w:rPr>
          <w:rFonts w:hint="eastAsia"/>
        </w:rPr>
        <w:t>附件</w:t>
      </w:r>
    </w:p>
    <w:p w14:paraId="71AF31EF">
      <w:pPr>
        <w:pStyle w:val="2"/>
        <w:ind w:firstLine="0" w:firstLineChars="0"/>
        <w:jc w:val="center"/>
      </w:pPr>
      <w:r>
        <w:rPr>
          <w:rFonts w:hint="eastAsia" w:ascii="方正小标宋_GBK" w:hAnsi="方正小标宋_GBK" w:eastAsia="方正小标宋_GBK" w:cs="方正小标宋_GBK"/>
          <w:sz w:val="44"/>
          <w:szCs w:val="44"/>
        </w:rPr>
        <w:t>技术名词介绍</w:t>
      </w:r>
      <w:bookmarkEnd w:id="125"/>
      <w:bookmarkEnd w:id="126"/>
      <w:bookmarkEnd w:id="127"/>
    </w:p>
    <w:tbl>
      <w:tblPr>
        <w:tblStyle w:val="25"/>
        <w:tblW w:w="863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77"/>
        <w:gridCol w:w="1206"/>
        <w:gridCol w:w="2045"/>
        <w:gridCol w:w="4602"/>
      </w:tblGrid>
      <w:tr w14:paraId="1E5B5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1206F50C">
            <w:pPr>
              <w:spacing w:line="400" w:lineRule="exact"/>
              <w:ind w:firstLine="0" w:firstLineChars="0"/>
              <w:jc w:val="center"/>
              <w:textAlignment w:val="center"/>
              <w:rPr>
                <w:rFonts w:ascii="方正黑体_GBK" w:eastAsia="方正黑体_GBK" w:cs="Times New Roman"/>
                <w:color w:val="000000"/>
                <w:sz w:val="24"/>
              </w:rPr>
            </w:pPr>
            <w:r>
              <w:rPr>
                <w:rFonts w:hint="eastAsia" w:ascii="方正黑体_GBK" w:eastAsia="方正黑体_GBK" w:cs="Times New Roman"/>
                <w:color w:val="000000"/>
                <w:kern w:val="0"/>
                <w:sz w:val="24"/>
                <w:lang w:bidi="ar"/>
              </w:rPr>
              <w:t>序号</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0A813253">
            <w:pPr>
              <w:spacing w:line="400" w:lineRule="exact"/>
              <w:ind w:firstLine="0" w:firstLineChars="0"/>
              <w:jc w:val="center"/>
              <w:textAlignment w:val="center"/>
              <w:rPr>
                <w:rFonts w:ascii="方正黑体_GBK" w:eastAsia="方正黑体_GBK" w:cs="Times New Roman"/>
                <w:color w:val="000000"/>
                <w:sz w:val="24"/>
              </w:rPr>
            </w:pPr>
            <w:r>
              <w:rPr>
                <w:rFonts w:hint="eastAsia" w:ascii="方正黑体_GBK" w:eastAsia="方正黑体_GBK" w:cs="Times New Roman"/>
                <w:color w:val="000000"/>
                <w:kern w:val="0"/>
                <w:sz w:val="24"/>
                <w:lang w:bidi="ar"/>
              </w:rPr>
              <w:t>专业名词</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5E835E2C">
            <w:pPr>
              <w:spacing w:line="400" w:lineRule="exact"/>
              <w:ind w:firstLine="0" w:firstLineChars="0"/>
              <w:jc w:val="center"/>
              <w:textAlignment w:val="center"/>
              <w:rPr>
                <w:rFonts w:ascii="方正黑体_GBK" w:eastAsia="方正黑体_GBK" w:cs="Times New Roman"/>
                <w:color w:val="000000"/>
                <w:sz w:val="24"/>
              </w:rPr>
            </w:pPr>
            <w:r>
              <w:rPr>
                <w:rFonts w:hint="eastAsia" w:ascii="方正黑体_GBK" w:eastAsia="方正黑体_GBK" w:cs="Times New Roman"/>
                <w:color w:val="000000"/>
                <w:kern w:val="0"/>
                <w:sz w:val="24"/>
                <w:lang w:bidi="ar"/>
              </w:rPr>
              <w:t>中文/英文</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05DC0716">
            <w:pPr>
              <w:spacing w:line="400" w:lineRule="exact"/>
              <w:ind w:firstLine="0" w:firstLineChars="0"/>
              <w:jc w:val="center"/>
              <w:textAlignment w:val="center"/>
              <w:rPr>
                <w:rFonts w:hint="eastAsia" w:ascii="方正黑体_GBK" w:hAnsi="宋体" w:eastAsia="方正黑体_GBK"/>
                <w:color w:val="000000"/>
                <w:sz w:val="24"/>
              </w:rPr>
            </w:pPr>
            <w:r>
              <w:rPr>
                <w:rFonts w:hint="eastAsia" w:ascii="方正黑体_GBK" w:hAnsi="宋体" w:eastAsia="方正黑体_GBK"/>
                <w:color w:val="000000"/>
                <w:kern w:val="0"/>
                <w:sz w:val="24"/>
                <w:lang w:bidi="ar"/>
              </w:rPr>
              <w:t>释义解释</w:t>
            </w:r>
          </w:p>
        </w:tc>
      </w:tr>
      <w:tr w14:paraId="52FE6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02F87F78">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3CBE67DE">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Token</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030A7A6A">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词元</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20FC024D">
            <w:pPr>
              <w:spacing w:line="340" w:lineRule="exact"/>
              <w:ind w:firstLine="0" w:firstLineChars="0"/>
              <w:textAlignment w:val="center"/>
              <w:rPr>
                <w:rFonts w:cs="Times New Roman"/>
                <w:color w:val="000000"/>
                <w:sz w:val="24"/>
              </w:rPr>
            </w:pPr>
            <w:r>
              <w:rPr>
                <w:rFonts w:cs="Times New Roman"/>
                <w:color w:val="000000"/>
                <w:kern w:val="0"/>
                <w:sz w:val="24"/>
                <w:lang w:bidi="ar"/>
              </w:rPr>
              <w:t>大语言模型处理文本的基本单位，通常对应一个词、词的一部分或一个字符。模型将输入文本切分为</w:t>
            </w:r>
            <w:r>
              <w:rPr>
                <w:rStyle w:val="53"/>
                <w:lang w:bidi="ar"/>
              </w:rPr>
              <w:t>Token</w:t>
            </w:r>
            <w:r>
              <w:rPr>
                <w:rStyle w:val="54"/>
                <w:rFonts w:hint="default" w:ascii="Times New Roman" w:hAnsi="Times New Roman" w:eastAsia="方正仿宋_GBK" w:cs="Times New Roman"/>
                <w:lang w:bidi="ar"/>
              </w:rPr>
              <w:t>后进行理解和生成，一个中文汉字通常对应</w:t>
            </w:r>
            <w:r>
              <w:rPr>
                <w:rStyle w:val="53"/>
                <w:lang w:bidi="ar"/>
              </w:rPr>
              <w:t>1~2</w:t>
            </w:r>
            <w:r>
              <w:rPr>
                <w:rStyle w:val="54"/>
                <w:rFonts w:hint="default" w:ascii="Times New Roman" w:hAnsi="Times New Roman" w:eastAsia="方正仿宋_GBK" w:cs="Times New Roman"/>
                <w:lang w:bidi="ar"/>
              </w:rPr>
              <w:t>个</w:t>
            </w:r>
            <w:r>
              <w:rPr>
                <w:rStyle w:val="53"/>
                <w:lang w:bidi="ar"/>
              </w:rPr>
              <w:t>Token</w:t>
            </w:r>
            <w:r>
              <w:rPr>
                <w:rStyle w:val="54"/>
                <w:rFonts w:hint="default" w:ascii="Times New Roman" w:hAnsi="Times New Roman" w:eastAsia="方正仿宋_GBK" w:cs="Times New Roman"/>
                <w:lang w:bidi="ar"/>
              </w:rPr>
              <w:t>。</w:t>
            </w:r>
          </w:p>
        </w:tc>
      </w:tr>
      <w:tr w14:paraId="0BB69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5289668D">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2</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3370B88D">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Agent</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66D211CA">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智能体</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0A06427D">
            <w:pPr>
              <w:spacing w:line="340" w:lineRule="exact"/>
              <w:ind w:firstLine="0" w:firstLineChars="0"/>
              <w:textAlignment w:val="center"/>
              <w:rPr>
                <w:rFonts w:cs="Times New Roman"/>
                <w:color w:val="000000"/>
                <w:sz w:val="24"/>
              </w:rPr>
            </w:pPr>
            <w:r>
              <w:rPr>
                <w:rFonts w:cs="Times New Roman"/>
                <w:color w:val="000000"/>
                <w:kern w:val="0"/>
                <w:sz w:val="24"/>
                <w:lang w:bidi="ar"/>
              </w:rPr>
              <w:t>能够感知环境、自主决策并采取行动以达成目标的智能系统。在AI领域，Agent可以理解为具备规划、记忆、工具使用等能力的智能程序，能自动完成复杂任务。</w:t>
            </w:r>
          </w:p>
        </w:tc>
      </w:tr>
      <w:tr w14:paraId="4D3D3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1E3FEEF5">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3</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765E8DC7">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负载均衡</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2409DD24">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009BAC1A">
            <w:pPr>
              <w:spacing w:line="340" w:lineRule="exact"/>
              <w:ind w:firstLine="0" w:firstLineChars="0"/>
              <w:textAlignment w:val="center"/>
              <w:rPr>
                <w:rFonts w:cs="Times New Roman"/>
                <w:color w:val="000000"/>
                <w:sz w:val="24"/>
              </w:rPr>
            </w:pPr>
            <w:r>
              <w:rPr>
                <w:rFonts w:cs="Times New Roman"/>
                <w:color w:val="000000"/>
                <w:kern w:val="0"/>
                <w:sz w:val="24"/>
                <w:lang w:bidi="ar"/>
              </w:rPr>
              <w:t>将网络请求或计算任务合理分配到多台服务器上，避免单点过载，提升系统整体性能、可用性和可靠性。</w:t>
            </w:r>
          </w:p>
        </w:tc>
      </w:tr>
      <w:tr w14:paraId="6A376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26408719">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4</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77DCDC42">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容灾降级</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6BBD790B">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011D14FC">
            <w:pPr>
              <w:spacing w:line="340" w:lineRule="exact"/>
              <w:ind w:firstLine="0" w:firstLineChars="0"/>
              <w:textAlignment w:val="center"/>
              <w:rPr>
                <w:rFonts w:cs="Times New Roman"/>
                <w:color w:val="000000"/>
                <w:sz w:val="24"/>
              </w:rPr>
            </w:pPr>
            <w:r>
              <w:rPr>
                <w:rFonts w:cs="Times New Roman"/>
                <w:color w:val="000000"/>
                <w:kern w:val="0"/>
                <w:sz w:val="24"/>
                <w:lang w:bidi="ar"/>
              </w:rPr>
              <w:t>容灾是指在发生故障或灾难时，通过备用系统快速切换以保障业务连续性；降级是指在系统负载过高时，暂时关闭非核心功能以释放资源保障核心服务的可用性。两者共同构成系统的弹性保障机制。</w:t>
            </w:r>
          </w:p>
        </w:tc>
      </w:tr>
      <w:tr w14:paraId="3FD0C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364B3FB6">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5</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26EB25C7">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隐式缓存</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2B55C22C">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789339A3">
            <w:pPr>
              <w:spacing w:line="340" w:lineRule="exact"/>
              <w:ind w:firstLine="0" w:firstLineChars="0"/>
              <w:textAlignment w:val="center"/>
              <w:rPr>
                <w:rFonts w:cs="Times New Roman"/>
                <w:color w:val="000000"/>
                <w:sz w:val="24"/>
              </w:rPr>
            </w:pPr>
            <w:r>
              <w:rPr>
                <w:rFonts w:cs="Times New Roman"/>
                <w:color w:val="000000"/>
                <w:kern w:val="0"/>
                <w:sz w:val="24"/>
                <w:lang w:bidi="ar"/>
              </w:rPr>
              <w:t>系统自动将频繁访问的数据或计算结果存储在高速缓存中，对应用层透明（无需显式声明缓存逻辑），从而减少重复计算或数据库访问，提升响应速度。</w:t>
            </w:r>
          </w:p>
        </w:tc>
      </w:tr>
      <w:tr w14:paraId="447AF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115ADA92">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6</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2306783A">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KV Cache</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409AECD2">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Key-Value Cache（键值缓存）</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28A3A07F">
            <w:pPr>
              <w:spacing w:line="340" w:lineRule="exact"/>
              <w:ind w:firstLine="0" w:firstLineChars="0"/>
              <w:textAlignment w:val="center"/>
              <w:rPr>
                <w:rFonts w:cs="Times New Roman"/>
                <w:color w:val="000000"/>
                <w:sz w:val="24"/>
              </w:rPr>
            </w:pPr>
            <w:r>
              <w:rPr>
                <w:rFonts w:cs="Times New Roman"/>
                <w:color w:val="000000"/>
                <w:kern w:val="0"/>
                <w:sz w:val="24"/>
                <w:lang w:bidi="ar"/>
              </w:rPr>
              <w:t>在大语言模型推理过程中，将注意力机制（Attention）计算得到的Key和Value矩阵缓存起来，避免在生成每个新Token时重复计算历史Token的注意力信息，大幅提升自回归生成的效率。</w:t>
            </w:r>
          </w:p>
        </w:tc>
      </w:tr>
      <w:tr w14:paraId="71C93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7D907718">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7</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67DEF9A3">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TTL</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59752CEF">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生存时间</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78FD9310">
            <w:pPr>
              <w:spacing w:line="340" w:lineRule="exact"/>
              <w:ind w:firstLine="0" w:firstLineChars="0"/>
              <w:textAlignment w:val="center"/>
              <w:rPr>
                <w:rFonts w:cs="Times New Roman"/>
                <w:color w:val="000000"/>
                <w:sz w:val="24"/>
              </w:rPr>
            </w:pPr>
            <w:r>
              <w:rPr>
                <w:rFonts w:cs="Times New Roman"/>
                <w:color w:val="000000"/>
                <w:kern w:val="0"/>
                <w:sz w:val="24"/>
                <w:lang w:bidi="ar"/>
              </w:rPr>
              <w:t>指定数据在缓存或存储中存活的时间长度。到期后数据自动失效或被清除，常用于缓存管理，确保数据的时效性并防止过期数据占用存储空间。</w:t>
            </w:r>
          </w:p>
        </w:tc>
      </w:tr>
      <w:tr w14:paraId="723EB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5677B776">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8</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08B00CBF">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Prompt</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2D7D53AA">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提示词</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7B315761">
            <w:pPr>
              <w:spacing w:line="340" w:lineRule="exact"/>
              <w:ind w:firstLine="0" w:firstLineChars="0"/>
              <w:textAlignment w:val="center"/>
              <w:rPr>
                <w:rFonts w:cs="Times New Roman"/>
                <w:color w:val="000000"/>
                <w:sz w:val="24"/>
              </w:rPr>
            </w:pPr>
            <w:r>
              <w:rPr>
                <w:rFonts w:cs="Times New Roman"/>
                <w:color w:val="000000"/>
                <w:kern w:val="0"/>
                <w:sz w:val="24"/>
                <w:lang w:bidi="ar"/>
              </w:rPr>
              <w:t>用户输入给大语言模型的文本指令或问题，用于引导模型生成符合预期的特定输出或响应。</w:t>
            </w:r>
          </w:p>
        </w:tc>
      </w:tr>
      <w:tr w14:paraId="3C8BB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5EE29778">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9</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3D0838F6">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System Prompt</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44CB1EF5">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系统提示词</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7E21C43E">
            <w:pPr>
              <w:spacing w:line="340" w:lineRule="exact"/>
              <w:ind w:firstLine="0" w:firstLineChars="0"/>
              <w:textAlignment w:val="center"/>
              <w:rPr>
                <w:rFonts w:cs="Times New Roman"/>
                <w:color w:val="000000"/>
                <w:sz w:val="24"/>
              </w:rPr>
            </w:pPr>
            <w:r>
              <w:rPr>
                <w:rFonts w:cs="Times New Roman"/>
                <w:color w:val="000000"/>
                <w:kern w:val="0"/>
                <w:sz w:val="24"/>
                <w:lang w:bidi="ar"/>
              </w:rPr>
              <w:t>由开发者预设的指令文本，用于在对话开始前设定模型的角色、行为准则和输出规范。它隐式地影响模型对所有用户输入的理解和响应方式，是控制AI行为的核心机制。</w:t>
            </w:r>
          </w:p>
        </w:tc>
      </w:tr>
      <w:tr w14:paraId="3F45D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2B4DE4AC">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10</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534F49FB">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prefill</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6896B712">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预填充/预填</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16C5E634">
            <w:pPr>
              <w:spacing w:line="340" w:lineRule="exact"/>
              <w:ind w:firstLine="0" w:firstLineChars="0"/>
              <w:textAlignment w:val="center"/>
              <w:rPr>
                <w:rFonts w:cs="Times New Roman"/>
                <w:color w:val="000000"/>
                <w:sz w:val="24"/>
              </w:rPr>
            </w:pPr>
            <w:r>
              <w:rPr>
                <w:rFonts w:cs="Times New Roman"/>
                <w:color w:val="000000"/>
                <w:kern w:val="0"/>
                <w:sz w:val="24"/>
                <w:lang w:bidi="ar"/>
              </w:rPr>
              <w:t>大语言模型推理的第一步，指将用户输入的完整Prompt一次性并行处理，计算出对应的KV Cache等中间状态，为后续的自回归Token生成做准备。</w:t>
            </w:r>
          </w:p>
        </w:tc>
      </w:tr>
      <w:tr w14:paraId="728A2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31123105">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11</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01EE1F3D">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ROI</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7C43B65F">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投资回报率</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2B3ACA5C">
            <w:pPr>
              <w:spacing w:line="340" w:lineRule="exact"/>
              <w:ind w:firstLine="0" w:firstLineChars="0"/>
              <w:textAlignment w:val="center"/>
              <w:rPr>
                <w:rFonts w:cs="Times New Roman"/>
                <w:color w:val="000000"/>
                <w:sz w:val="24"/>
              </w:rPr>
            </w:pPr>
            <w:r>
              <w:rPr>
                <w:rFonts w:cs="Times New Roman"/>
                <w:color w:val="000000"/>
                <w:kern w:val="0"/>
                <w:sz w:val="24"/>
                <w:lang w:bidi="ar"/>
              </w:rPr>
              <w:t>衡量投入产出比的指标，在</w:t>
            </w:r>
            <w:r>
              <w:rPr>
                <w:rStyle w:val="53"/>
                <w:lang w:bidi="ar"/>
              </w:rPr>
              <w:t>AI</w:t>
            </w:r>
            <w:r>
              <w:rPr>
                <w:rStyle w:val="54"/>
                <w:rFonts w:hint="default" w:ascii="Times New Roman" w:hAnsi="Times New Roman" w:eastAsia="方正仿宋_GBK" w:cs="Times New Roman"/>
                <w:lang w:bidi="ar"/>
              </w:rPr>
              <w:t>项目中用于评估技术投入所带来的业务价值是否值得。</w:t>
            </w:r>
          </w:p>
        </w:tc>
      </w:tr>
      <w:tr w14:paraId="5F040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370A842C">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12</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2E72508B">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显存溢出</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206E31C7">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GPU OOM</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68B70994">
            <w:pPr>
              <w:spacing w:line="340" w:lineRule="exact"/>
              <w:ind w:firstLine="0" w:firstLineChars="0"/>
              <w:textAlignment w:val="center"/>
              <w:rPr>
                <w:rFonts w:cs="Times New Roman"/>
                <w:color w:val="000000"/>
                <w:sz w:val="24"/>
              </w:rPr>
            </w:pPr>
            <w:r>
              <w:rPr>
                <w:rFonts w:cs="Times New Roman"/>
                <w:color w:val="000000"/>
                <w:kern w:val="0"/>
                <w:sz w:val="24"/>
                <w:lang w:bidi="ar"/>
              </w:rPr>
              <w:t>GPU显存容量不足以容纳当前模型参数、激活值或批处理数据，导致程序崩溃或训练/推理失败。常见于大模型部署时，需通过模型量化、分批推理等手段解决。</w:t>
            </w:r>
          </w:p>
        </w:tc>
      </w:tr>
      <w:tr w14:paraId="329CC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1A39FFF1">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13</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0FCF80D2">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P99延迟</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584B8378">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第99百分位延迟</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6EDD0A6A">
            <w:pPr>
              <w:spacing w:line="340" w:lineRule="exact"/>
              <w:ind w:firstLine="0" w:firstLineChars="0"/>
              <w:textAlignment w:val="center"/>
              <w:rPr>
                <w:rFonts w:cs="Times New Roman"/>
                <w:color w:val="000000"/>
                <w:sz w:val="24"/>
              </w:rPr>
            </w:pPr>
            <w:r>
              <w:rPr>
                <w:rFonts w:cs="Times New Roman"/>
                <w:color w:val="000000"/>
                <w:kern w:val="0"/>
                <w:sz w:val="24"/>
                <w:lang w:bidi="ar"/>
              </w:rPr>
              <w:t>表示99%的请求响应时间低于该值，仅最慢的1%请求会超过此延迟。是衡量系统性能尾延迟（Tail Latency）的关键指标，比平均延迟更能反映用户体验。</w:t>
            </w:r>
          </w:p>
        </w:tc>
      </w:tr>
      <w:tr w14:paraId="28A94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3B197CAB">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14</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7F09B85F">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显存碎片化</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3FC01BB7">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5749A0A8">
            <w:pPr>
              <w:spacing w:line="340" w:lineRule="exact"/>
              <w:ind w:firstLine="0" w:firstLineChars="0"/>
              <w:textAlignment w:val="center"/>
              <w:rPr>
                <w:rFonts w:cs="Times New Roman"/>
                <w:color w:val="000000"/>
                <w:sz w:val="24"/>
              </w:rPr>
            </w:pPr>
            <w:r>
              <w:rPr>
                <w:rFonts w:cs="Times New Roman"/>
                <w:color w:val="000000"/>
                <w:kern w:val="0"/>
                <w:sz w:val="24"/>
                <w:lang w:bidi="ar"/>
              </w:rPr>
              <w:t>GPU显存被分割成许多不连续的小块，虽然总空闲显存充足，但无法分配出足够大的连续内存空间来满足请求，导致显存利用率低下甚至OOM。</w:t>
            </w:r>
          </w:p>
        </w:tc>
      </w:tr>
      <w:tr w14:paraId="62C46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10730B8C">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15</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3234C71B">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FAQ机器人</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46771B75">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常见问题机器人</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52EAA8D1">
            <w:pPr>
              <w:spacing w:line="340" w:lineRule="exact"/>
              <w:ind w:firstLine="0" w:firstLineChars="0"/>
              <w:textAlignment w:val="center"/>
              <w:rPr>
                <w:rFonts w:cs="Times New Roman"/>
                <w:color w:val="000000"/>
                <w:sz w:val="24"/>
              </w:rPr>
            </w:pPr>
            <w:r>
              <w:rPr>
                <w:rFonts w:cs="Times New Roman"/>
                <w:color w:val="000000"/>
                <w:kern w:val="0"/>
                <w:sz w:val="24"/>
                <w:lang w:bidi="ar"/>
              </w:rPr>
              <w:t>基于预定义的常见问题与答案库，自动识别用户意图并返回对应答案的客服系统。常用于企业知识库场景，快速响应高频重复性问题，降低人工客服压力。</w:t>
            </w:r>
          </w:p>
        </w:tc>
      </w:tr>
      <w:tr w14:paraId="34B1F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0A3A669B">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16</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307C2121">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POC试点</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474BDCBC">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概念验证试点</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70336A1E">
            <w:pPr>
              <w:spacing w:line="340" w:lineRule="exact"/>
              <w:ind w:firstLine="0" w:firstLineChars="0"/>
              <w:textAlignment w:val="center"/>
              <w:rPr>
                <w:rFonts w:cs="Times New Roman"/>
                <w:color w:val="000000"/>
                <w:sz w:val="24"/>
              </w:rPr>
            </w:pPr>
            <w:r>
              <w:rPr>
                <w:rFonts w:cs="Times New Roman"/>
                <w:color w:val="000000"/>
                <w:kern w:val="0"/>
                <w:sz w:val="24"/>
                <w:lang w:bidi="ar"/>
              </w:rPr>
              <w:t>在正式项目启动前，通过小规模的技术验证来证明方案的可行性，评估技术风险与预期效果，为后续决策提供依据。</w:t>
            </w:r>
          </w:p>
        </w:tc>
      </w:tr>
      <w:tr w14:paraId="34970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509CC035">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17</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4D3223D6">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INT8/INT4</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45724790">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8位/4位整数量化</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088CD06A">
            <w:pPr>
              <w:spacing w:line="340" w:lineRule="exact"/>
              <w:ind w:firstLine="0" w:firstLineChars="0"/>
              <w:textAlignment w:val="center"/>
              <w:rPr>
                <w:rFonts w:cs="Times New Roman"/>
                <w:color w:val="000000"/>
                <w:sz w:val="24"/>
              </w:rPr>
            </w:pPr>
            <w:r>
              <w:rPr>
                <w:rFonts w:cs="Times New Roman"/>
                <w:color w:val="000000"/>
                <w:kern w:val="0"/>
                <w:sz w:val="24"/>
                <w:lang w:bidi="ar"/>
              </w:rPr>
              <w:t>将模型中的浮点权重（如FP16/FP32）转换为低精度整数表示的技术。INT8将权重压缩为8位整数，INT4进一步压缩为4位整数，可显著减少模型体积和推理算力需求，是模型部署加速的重要手段。</w:t>
            </w:r>
          </w:p>
        </w:tc>
      </w:tr>
      <w:tr w14:paraId="7123C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54341AA3">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18</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1DA1ACC4">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Docker容器化</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280D8E71">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545EA554">
            <w:pPr>
              <w:spacing w:line="340" w:lineRule="exact"/>
              <w:ind w:firstLine="0" w:firstLineChars="0"/>
              <w:textAlignment w:val="center"/>
              <w:rPr>
                <w:rFonts w:cs="Times New Roman"/>
                <w:color w:val="000000"/>
                <w:sz w:val="24"/>
              </w:rPr>
            </w:pPr>
            <w:r>
              <w:rPr>
                <w:rFonts w:cs="Times New Roman"/>
                <w:color w:val="000000"/>
                <w:kern w:val="0"/>
                <w:sz w:val="24"/>
                <w:lang w:bidi="ar"/>
              </w:rPr>
              <w:t>使用Docker容器技术将应用及其依赖环境打包为一个标准化的可执行单元，实现</w:t>
            </w:r>
            <w:r>
              <w:rPr>
                <w:rFonts w:hint="eastAsia" w:cs="Times New Roman"/>
                <w:color w:val="000000"/>
                <w:kern w:val="0"/>
                <w:sz w:val="24"/>
                <w:lang w:bidi="ar"/>
              </w:rPr>
              <w:t>“</w:t>
            </w:r>
            <w:r>
              <w:rPr>
                <w:rFonts w:cs="Times New Roman"/>
                <w:color w:val="000000"/>
                <w:kern w:val="0"/>
                <w:sz w:val="24"/>
                <w:lang w:bidi="ar"/>
              </w:rPr>
              <w:t>一次构建，到处运行</w:t>
            </w:r>
            <w:r>
              <w:rPr>
                <w:rFonts w:hint="eastAsia" w:cs="Times New Roman"/>
                <w:color w:val="000000"/>
                <w:kern w:val="0"/>
                <w:sz w:val="24"/>
                <w:lang w:bidi="ar"/>
              </w:rPr>
              <w:t>”</w:t>
            </w:r>
            <w:r>
              <w:rPr>
                <w:rFonts w:cs="Times New Roman"/>
                <w:color w:val="000000"/>
                <w:kern w:val="0"/>
                <w:sz w:val="24"/>
                <w:lang w:bidi="ar"/>
              </w:rPr>
              <w:t>。相比传统虚拟机更轻量、启动更快，便于应用的部署、扩展和管理。</w:t>
            </w:r>
          </w:p>
        </w:tc>
      </w:tr>
      <w:tr w14:paraId="71772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65CB2361">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19</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3BFA996A">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RAG</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2AA1C83A">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检索增强生成</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4A776864">
            <w:pPr>
              <w:spacing w:line="340" w:lineRule="exact"/>
              <w:ind w:firstLine="0" w:firstLineChars="0"/>
              <w:textAlignment w:val="center"/>
              <w:rPr>
                <w:rFonts w:cs="Times New Roman"/>
                <w:color w:val="000000"/>
                <w:sz w:val="24"/>
              </w:rPr>
            </w:pPr>
            <w:r>
              <w:rPr>
                <w:rFonts w:cs="Times New Roman"/>
                <w:color w:val="000000"/>
                <w:kern w:val="0"/>
                <w:sz w:val="24"/>
                <w:lang w:bidi="ar"/>
              </w:rPr>
              <w:t>将外部知识库的检索能力与大语言模型的生成能力相结合的技术。当模型回答问题时，先从知识库中检索相关文档片段，再将检索结果与用户问题一起输入模型生成回答，有效提升回答的准确性和时效性。</w:t>
            </w:r>
          </w:p>
        </w:tc>
      </w:tr>
      <w:tr w14:paraId="16ADF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784AFBE4">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20</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0A22AA14">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RMM</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6C267CDE">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反射式记忆管理</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2409CB7F">
            <w:pPr>
              <w:spacing w:line="340" w:lineRule="exact"/>
              <w:ind w:firstLine="0" w:firstLineChars="0"/>
              <w:textAlignment w:val="center"/>
              <w:rPr>
                <w:rFonts w:cs="Times New Roman"/>
                <w:color w:val="000000"/>
                <w:sz w:val="24"/>
              </w:rPr>
            </w:pPr>
            <w:r>
              <w:rPr>
                <w:rFonts w:cs="Times New Roman"/>
                <w:color w:val="000000"/>
                <w:kern w:val="0"/>
                <w:sz w:val="24"/>
                <w:lang w:bidi="ar"/>
              </w:rPr>
              <w:t>在AI推理框架中，指对GPU显存进行高效管理的机制，包括内存分配、释放、复用等策略，以最大化显存利用率并避免OOM。</w:t>
            </w:r>
          </w:p>
        </w:tc>
      </w:tr>
      <w:tr w14:paraId="533DF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02AD460A">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21</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116F87C2">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TCO</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31074496">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总体拥有成本</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2B7D48F2">
            <w:pPr>
              <w:spacing w:line="340" w:lineRule="exact"/>
              <w:ind w:firstLine="0" w:firstLineChars="0"/>
              <w:textAlignment w:val="center"/>
              <w:rPr>
                <w:rFonts w:cs="Times New Roman"/>
                <w:color w:val="000000"/>
                <w:sz w:val="24"/>
              </w:rPr>
            </w:pPr>
            <w:r>
              <w:rPr>
                <w:rFonts w:cs="Times New Roman"/>
                <w:color w:val="000000"/>
                <w:kern w:val="0"/>
                <w:sz w:val="24"/>
                <w:lang w:bidi="ar"/>
              </w:rPr>
              <w:t>评估一项技术或产品从采购、部署、运维到退役全生命周期内的全部成本，不仅包含初始采购费用，还涵盖运维人力、能耗、升级等隐性成本，常用于AI基础设施的选型决策。</w:t>
            </w:r>
          </w:p>
        </w:tc>
      </w:tr>
      <w:tr w14:paraId="7C4AE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777" w:type="dxa"/>
            <w:tcBorders>
              <w:top w:val="single" w:color="auto" w:sz="4" w:space="0"/>
              <w:left w:val="single" w:color="auto" w:sz="4" w:space="0"/>
              <w:bottom w:val="single" w:color="auto" w:sz="4" w:space="0"/>
              <w:right w:val="single" w:color="auto" w:sz="4" w:space="0"/>
              <w:tl2br w:val="nil"/>
              <w:tr2bl w:val="nil"/>
            </w:tcBorders>
            <w:vAlign w:val="center"/>
          </w:tcPr>
          <w:p w14:paraId="7067693E">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22</w:t>
            </w:r>
          </w:p>
        </w:tc>
        <w:tc>
          <w:tcPr>
            <w:tcW w:w="1206" w:type="dxa"/>
            <w:tcBorders>
              <w:top w:val="single" w:color="auto" w:sz="4" w:space="0"/>
              <w:left w:val="single" w:color="auto" w:sz="4" w:space="0"/>
              <w:bottom w:val="single" w:color="auto" w:sz="4" w:space="0"/>
              <w:right w:val="single" w:color="auto" w:sz="4" w:space="0"/>
              <w:tl2br w:val="nil"/>
              <w:tr2bl w:val="nil"/>
            </w:tcBorders>
            <w:vAlign w:val="center"/>
          </w:tcPr>
          <w:p w14:paraId="3D6C38BB">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ReAct推理</w:t>
            </w:r>
          </w:p>
        </w:tc>
        <w:tc>
          <w:tcPr>
            <w:tcW w:w="2045" w:type="dxa"/>
            <w:tcBorders>
              <w:top w:val="single" w:color="auto" w:sz="4" w:space="0"/>
              <w:left w:val="single" w:color="auto" w:sz="4" w:space="0"/>
              <w:bottom w:val="single" w:color="auto" w:sz="4" w:space="0"/>
              <w:right w:val="single" w:color="auto" w:sz="4" w:space="0"/>
              <w:tl2br w:val="nil"/>
              <w:tr2bl w:val="nil"/>
            </w:tcBorders>
            <w:vAlign w:val="center"/>
          </w:tcPr>
          <w:p w14:paraId="2F99C45A">
            <w:pPr>
              <w:spacing w:line="400" w:lineRule="exact"/>
              <w:ind w:firstLine="0" w:firstLineChars="0"/>
              <w:jc w:val="center"/>
              <w:textAlignment w:val="center"/>
              <w:rPr>
                <w:rFonts w:cs="Times New Roman"/>
                <w:color w:val="000000"/>
                <w:sz w:val="24"/>
              </w:rPr>
            </w:pPr>
            <w:r>
              <w:rPr>
                <w:rFonts w:cs="Times New Roman"/>
                <w:color w:val="000000"/>
                <w:kern w:val="0"/>
                <w:sz w:val="24"/>
                <w:lang w:bidi="ar"/>
              </w:rPr>
              <w:t>Reasoning + Acting（推理与行动）</w:t>
            </w:r>
          </w:p>
        </w:tc>
        <w:tc>
          <w:tcPr>
            <w:tcW w:w="4602" w:type="dxa"/>
            <w:tcBorders>
              <w:top w:val="single" w:color="auto" w:sz="4" w:space="0"/>
              <w:left w:val="single" w:color="auto" w:sz="4" w:space="0"/>
              <w:bottom w:val="single" w:color="auto" w:sz="4" w:space="0"/>
              <w:right w:val="single" w:color="auto" w:sz="4" w:space="0"/>
              <w:tl2br w:val="nil"/>
              <w:tr2bl w:val="nil"/>
            </w:tcBorders>
            <w:vAlign w:val="center"/>
          </w:tcPr>
          <w:p w14:paraId="7CC60014">
            <w:pPr>
              <w:spacing w:line="340" w:lineRule="exact"/>
              <w:ind w:firstLine="0" w:firstLineChars="0"/>
              <w:textAlignment w:val="center"/>
              <w:rPr>
                <w:rFonts w:cs="Times New Roman"/>
                <w:color w:val="000000"/>
                <w:sz w:val="24"/>
              </w:rPr>
            </w:pPr>
            <w:r>
              <w:rPr>
                <w:rFonts w:cs="Times New Roman"/>
                <w:color w:val="000000"/>
                <w:kern w:val="0"/>
                <w:sz w:val="24"/>
                <w:lang w:bidi="ar"/>
              </w:rPr>
              <w:t>一种让大语言模型同时进行搜索推理（Reasoning）和工具调用（Acting）的推理框架。模型在解决问题时交替进行</w:t>
            </w:r>
            <w:r>
              <w:rPr>
                <w:rFonts w:hint="eastAsia" w:cs="Times New Roman"/>
                <w:color w:val="000000"/>
                <w:kern w:val="0"/>
                <w:sz w:val="24"/>
                <w:lang w:bidi="ar"/>
              </w:rPr>
              <w:t>“</w:t>
            </w:r>
            <w:r>
              <w:rPr>
                <w:rFonts w:cs="Times New Roman"/>
                <w:color w:val="000000"/>
                <w:kern w:val="0"/>
                <w:sz w:val="24"/>
                <w:lang w:bidi="ar"/>
              </w:rPr>
              <w:t>思考</w:t>
            </w:r>
            <w:r>
              <w:rPr>
                <w:rFonts w:hint="eastAsia" w:cs="Times New Roman"/>
                <w:color w:val="000000"/>
                <w:kern w:val="0"/>
                <w:sz w:val="24"/>
                <w:lang w:bidi="ar"/>
              </w:rPr>
              <w:t>”</w:t>
            </w:r>
            <w:r>
              <w:rPr>
                <w:rFonts w:cs="Times New Roman"/>
                <w:color w:val="000000"/>
                <w:kern w:val="0"/>
                <w:sz w:val="24"/>
                <w:lang w:bidi="ar"/>
              </w:rPr>
              <w:t>和</w:t>
            </w:r>
            <w:r>
              <w:rPr>
                <w:rFonts w:hint="eastAsia" w:cs="Times New Roman"/>
                <w:color w:val="000000"/>
                <w:kern w:val="0"/>
                <w:sz w:val="24"/>
                <w:lang w:bidi="ar"/>
              </w:rPr>
              <w:t>“</w:t>
            </w:r>
            <w:r>
              <w:rPr>
                <w:rFonts w:cs="Times New Roman"/>
                <w:color w:val="000000"/>
                <w:kern w:val="0"/>
                <w:sz w:val="24"/>
                <w:lang w:bidi="ar"/>
              </w:rPr>
              <w:t>行动</w:t>
            </w:r>
            <w:r>
              <w:rPr>
                <w:rFonts w:hint="eastAsia" w:cs="Times New Roman"/>
                <w:color w:val="000000"/>
                <w:kern w:val="0"/>
                <w:sz w:val="24"/>
                <w:lang w:bidi="ar"/>
              </w:rPr>
              <w:t>”</w:t>
            </w:r>
            <w:r>
              <w:rPr>
                <w:rFonts w:cs="Times New Roman"/>
                <w:color w:val="000000"/>
                <w:kern w:val="0"/>
                <w:sz w:val="24"/>
                <w:lang w:bidi="ar"/>
              </w:rPr>
              <w:t>，通过观察行动结果来指导下一步推理，适用于需要多步推理和外部工具配合的复杂任务。</w:t>
            </w:r>
          </w:p>
        </w:tc>
      </w:tr>
    </w:tbl>
    <w:p w14:paraId="23313449">
      <w:pPr>
        <w:ind w:firstLine="0" w:firstLineChars="0"/>
      </w:pPr>
    </w:p>
    <w:sectPr>
      <w:endnotePr>
        <w:numFmt w:val="decimal"/>
      </w:end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p>
  </w:endnote>
  <w:endnote w:type="continuationSeparator" w:id="1">
    <w:p>
      <w:pPr>
        <w:spacing w:line="240" w:lineRule="auto"/>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A624339-AD2F-477E-A5C1-7D729FDD640D}"/>
  </w:font>
  <w:font w:name="黑体">
    <w:panose1 w:val="02010609060101010101"/>
    <w:charset w:val="86"/>
    <w:family w:val="auto"/>
    <w:pitch w:val="default"/>
    <w:sig w:usb0="800002BF" w:usb1="38CF7CFA" w:usb2="00000016" w:usb3="00000000" w:csb0="00040001" w:csb1="00000000"/>
    <w:embedRegular r:id="rId2" w:fontKey="{03284E74-E626-4433-B3EB-2D10517B35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00000" w:usb3="00000000" w:csb0="00040000" w:csb1="00000000"/>
    <w:embedRegular r:id="rId3" w:fontKey="{FC4DA34D-B1A2-4E98-BABC-A8CF4EE4569C}"/>
  </w:font>
  <w:font w:name="方正黑体_GBK">
    <w:altName w:val="微软雅黑"/>
    <w:panose1 w:val="02000000000000000000"/>
    <w:charset w:val="86"/>
    <w:family w:val="script"/>
    <w:pitch w:val="default"/>
    <w:sig w:usb0="00000000" w:usb1="00000000" w:usb2="00000000" w:usb3="00000000" w:csb0="00040000" w:csb1="00000000"/>
    <w:embedRegular r:id="rId4" w:fontKey="{585F5B61-E5A9-4E5F-A7DD-B85A964B33BA}"/>
  </w:font>
  <w:font w:name="方正楷体_GBK">
    <w:altName w:val="微软雅黑"/>
    <w:panose1 w:val="02000000000000000000"/>
    <w:charset w:val="86"/>
    <w:family w:val="script"/>
    <w:pitch w:val="default"/>
    <w:sig w:usb0="00000000" w:usb1="00000000" w:usb2="00000000" w:usb3="00000000" w:csb0="00040000" w:csb1="00000000"/>
    <w:embedRegular r:id="rId5" w:fontKey="{DEEE41C6-D100-4FBC-8444-F8EC82FFA2D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embedRegular r:id="rId6" w:fontKey="{C7E8A827-1C0F-4194-BFD7-5DDB056E1660}"/>
  </w:font>
  <w:font w:name="微软雅黑">
    <w:panose1 w:val="020B0503020204020204"/>
    <w:charset w:val="86"/>
    <w:family w:val="auto"/>
    <w:pitch w:val="default"/>
    <w:sig w:usb0="80000287" w:usb1="2ACF3C50" w:usb2="00000016" w:usb3="00000000" w:csb0="0004001F" w:csb1="00000000"/>
  </w:font>
  <w:font w:name="KSOFF21A05E0">
    <w:panose1 w:val="020B0503020204020204"/>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8FBC5">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15D71">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DCF81">
    <w:pPr>
      <w:pStyle w:val="1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15E3D">
    <w:pPr>
      <w:pStyle w:val="1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D8275">
    <w:pPr>
      <w:pStyle w:val="16"/>
      <w:ind w:firstLine="560"/>
      <w:jc w:val="center"/>
      <w:rPr>
        <w:rFonts w:cs="Times New Roman"/>
        <w:sz w:val="28"/>
        <w:szCs w:val="28"/>
      </w:rPr>
    </w:pPr>
    <w:r>
      <w:rPr>
        <w:rFonts w:cs="Times New Roman"/>
        <w:sz w:val="28"/>
        <w:szCs w:val="28"/>
      </w:rPr>
      <w:t>—</w:t>
    </w:r>
    <w:sdt>
      <w:sdtPr>
        <w:rPr>
          <w:rFonts w:cs="Times New Roman"/>
          <w:sz w:val="28"/>
          <w:szCs w:val="28"/>
        </w:rPr>
        <w:id w:val="237910205"/>
        <w:docPartObj>
          <w:docPartGallery w:val="autotext"/>
        </w:docPartObj>
      </w:sdtPr>
      <w:sdtEndPr>
        <w:rPr>
          <w:rFonts w:cs="Times New Roman"/>
          <w:sz w:val="28"/>
          <w:szCs w:val="28"/>
        </w:rPr>
      </w:sdtEndPr>
      <w:sdtContent>
        <w:r>
          <w:rPr>
            <w:rFonts w:cs="Times New Roman"/>
            <w:sz w:val="28"/>
            <w:szCs w:val="28"/>
          </w:rPr>
          <w:t xml:space="preserve"> </w:t>
        </w:r>
        <w:r>
          <w:rPr>
            <w:rFonts w:cs="Times New Roman"/>
            <w:sz w:val="28"/>
            <w:szCs w:val="28"/>
          </w:rPr>
          <w:fldChar w:fldCharType="begin"/>
        </w:r>
        <w:r>
          <w:rPr>
            <w:rFonts w:cs="Times New Roman"/>
            <w:sz w:val="28"/>
            <w:szCs w:val="28"/>
          </w:rPr>
          <w:instrText xml:space="preserve">PAGE   \* MERGEFORMAT</w:instrText>
        </w:r>
        <w:r>
          <w:rPr>
            <w:rFonts w:cs="Times New Roman"/>
            <w:sz w:val="28"/>
            <w:szCs w:val="28"/>
          </w:rPr>
          <w:fldChar w:fldCharType="separate"/>
        </w:r>
        <w:r>
          <w:rPr>
            <w:rFonts w:cs="Times New Roman"/>
            <w:sz w:val="28"/>
            <w:szCs w:val="28"/>
            <w:lang w:val="zh-CN"/>
          </w:rPr>
          <w:t>2</w:t>
        </w:r>
        <w:r>
          <w:rPr>
            <w:rFonts w:cs="Times New Roman"/>
            <w:sz w:val="28"/>
            <w:szCs w:val="28"/>
          </w:rPr>
          <w:fldChar w:fldCharType="end"/>
        </w:r>
        <w:r>
          <w:rPr>
            <w:rFonts w:cs="Times New Roman"/>
            <w:sz w:val="28"/>
            <w:szCs w:val="28"/>
          </w:rPr>
          <w:t xml:space="preserve"> </w:t>
        </w:r>
      </w:sdtContent>
    </w:sdt>
    <w:r>
      <w:rPr>
        <w:rFonts w:cs="Times New Roman"/>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ind w:firstLine="640"/>
      </w:pPr>
    </w:p>
  </w:footnote>
  <w:footnote w:type="continuationSeparator" w:id="3">
    <w:p>
      <w:pPr>
        <w:spacing w:line="240" w:lineRule="auto"/>
        <w:ind w:firstLine="640"/>
      </w:pPr>
    </w:p>
  </w:footnote>
  <w:footnote w:id="0">
    <w:p w14:paraId="5310232E">
      <w:pPr>
        <w:pStyle w:val="20"/>
        <w:ind w:firstLine="360"/>
        <w:rPr>
          <w:rFonts w:hint="eastAsia"/>
        </w:rPr>
      </w:pPr>
      <w:r>
        <w:rPr>
          <w:rStyle w:val="31"/>
        </w:rPr>
        <w:footnoteRef/>
      </w:r>
      <w:r>
        <w:t xml:space="preserve"> </w:t>
      </w:r>
      <w:r>
        <w:rPr>
          <w:rFonts w:hint="eastAsia"/>
          <w:sz w:val="28"/>
          <w:szCs w:val="22"/>
        </w:rPr>
        <w:t>混合部署模式为公有云API调用和本地部署两种部署方式的组合应用，相关Token管理要求可参照公有云API、本地部署的相应内容，不在指引中单独列出。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C91AD">
    <w:pPr>
      <w:pStyle w:val="1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A12B4">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2E99F">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CB84B"/>
    <w:multiLevelType w:val="singleLevel"/>
    <w:tmpl w:val="821CB84B"/>
    <w:lvl w:ilvl="0" w:tentative="0">
      <w:start w:val="1"/>
      <w:numFmt w:val="decimal"/>
      <w:suff w:val="nothing"/>
      <w:lvlText w:val="%1."/>
      <w:lvlJc w:val="left"/>
      <w:pPr>
        <w:ind w:left="422" w:hanging="425"/>
      </w:pPr>
      <w:rPr>
        <w:rFonts w:hint="default"/>
      </w:rPr>
    </w:lvl>
  </w:abstractNum>
  <w:abstractNum w:abstractNumId="1">
    <w:nsid w:val="C9DE234F"/>
    <w:multiLevelType w:val="singleLevel"/>
    <w:tmpl w:val="C9DE234F"/>
    <w:lvl w:ilvl="0" w:tentative="0">
      <w:start w:val="2"/>
      <w:numFmt w:val="chineseCounting"/>
      <w:suff w:val="nothing"/>
      <w:lvlText w:val="（%1）"/>
      <w:lvlJc w:val="left"/>
      <w:rPr>
        <w:rFonts w:hint="eastAsia"/>
      </w:rPr>
    </w:lvl>
  </w:abstractNum>
  <w:abstractNum w:abstractNumId="2">
    <w:nsid w:val="F5889627"/>
    <w:multiLevelType w:val="singleLevel"/>
    <w:tmpl w:val="F5889627"/>
    <w:lvl w:ilvl="0" w:tentative="0">
      <w:start w:val="1"/>
      <w:numFmt w:val="chineseCounting"/>
      <w:suff w:val="nothing"/>
      <w:lvlText w:val="（%1）"/>
      <w:lvlJc w:val="left"/>
      <w:pPr>
        <w:ind w:left="220" w:firstLine="420"/>
      </w:pPr>
      <w:rPr>
        <w:rFonts w:hint="eastAsia"/>
      </w:rPr>
    </w:lvl>
  </w:abstractNum>
  <w:abstractNum w:abstractNumId="3">
    <w:nsid w:val="431706F9"/>
    <w:multiLevelType w:val="singleLevel"/>
    <w:tmpl w:val="431706F9"/>
    <w:lvl w:ilvl="0" w:tentative="0">
      <w:start w:val="1"/>
      <w:numFmt w:val="chineseCounting"/>
      <w:suff w:val="nothing"/>
      <w:lvlText w:val="（%1）"/>
      <w:lvlJc w:val="left"/>
      <w:rPr>
        <w:rFonts w:hint="eastAsia"/>
      </w:rPr>
    </w:lvl>
  </w:abstractNum>
  <w:abstractNum w:abstractNumId="4">
    <w:nsid w:val="493C163D"/>
    <w:multiLevelType w:val="singleLevel"/>
    <w:tmpl w:val="493C163D"/>
    <w:lvl w:ilvl="0" w:tentative="0">
      <w:start w:val="1"/>
      <w:numFmt w:val="decimal"/>
      <w:suff w:val="nothing"/>
      <w:lvlText w:val="%1."/>
      <w:lvlJc w:val="left"/>
      <w:pPr>
        <w:ind w:left="425" w:hanging="425"/>
      </w:pPr>
      <w:rPr>
        <w:rFont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2"/>
    <w:footnote w:id="3"/>
  </w:footnotePr>
  <w:endnotePr>
    <w:numFmt w:val="decimal"/>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C7"/>
    <w:rsid w:val="00074940"/>
    <w:rsid w:val="000969AD"/>
    <w:rsid w:val="001F57E1"/>
    <w:rsid w:val="0031380D"/>
    <w:rsid w:val="00420681"/>
    <w:rsid w:val="00454182"/>
    <w:rsid w:val="004959C7"/>
    <w:rsid w:val="004C42F4"/>
    <w:rsid w:val="005053B0"/>
    <w:rsid w:val="00511002"/>
    <w:rsid w:val="00551E9A"/>
    <w:rsid w:val="005750D4"/>
    <w:rsid w:val="005E3873"/>
    <w:rsid w:val="00630D4C"/>
    <w:rsid w:val="006A017E"/>
    <w:rsid w:val="00707206"/>
    <w:rsid w:val="00725FD8"/>
    <w:rsid w:val="00727183"/>
    <w:rsid w:val="007277DC"/>
    <w:rsid w:val="007848C8"/>
    <w:rsid w:val="007B6C41"/>
    <w:rsid w:val="007C0181"/>
    <w:rsid w:val="008A2B59"/>
    <w:rsid w:val="00942BBC"/>
    <w:rsid w:val="009B571F"/>
    <w:rsid w:val="009C0F0C"/>
    <w:rsid w:val="00A33F7A"/>
    <w:rsid w:val="00A469CE"/>
    <w:rsid w:val="00A7337E"/>
    <w:rsid w:val="00AB3FB6"/>
    <w:rsid w:val="00AD540E"/>
    <w:rsid w:val="00B16282"/>
    <w:rsid w:val="00B26166"/>
    <w:rsid w:val="00B33EA5"/>
    <w:rsid w:val="00B37C29"/>
    <w:rsid w:val="00B40250"/>
    <w:rsid w:val="00BE7797"/>
    <w:rsid w:val="00CC5E76"/>
    <w:rsid w:val="00CC7ECA"/>
    <w:rsid w:val="00D14BC9"/>
    <w:rsid w:val="00D36D2B"/>
    <w:rsid w:val="00D56F49"/>
    <w:rsid w:val="00D63800"/>
    <w:rsid w:val="00D743B5"/>
    <w:rsid w:val="00DD35AC"/>
    <w:rsid w:val="00E657A2"/>
    <w:rsid w:val="00E739B0"/>
    <w:rsid w:val="00E840E4"/>
    <w:rsid w:val="00ED1315"/>
    <w:rsid w:val="00F34D23"/>
    <w:rsid w:val="00F6718B"/>
    <w:rsid w:val="0114678C"/>
    <w:rsid w:val="011B0745"/>
    <w:rsid w:val="013730A5"/>
    <w:rsid w:val="014D28C9"/>
    <w:rsid w:val="0156177E"/>
    <w:rsid w:val="016043AA"/>
    <w:rsid w:val="01605223"/>
    <w:rsid w:val="017900E3"/>
    <w:rsid w:val="018F2EE2"/>
    <w:rsid w:val="01982626"/>
    <w:rsid w:val="019E3125"/>
    <w:rsid w:val="01A87AFF"/>
    <w:rsid w:val="01B6046E"/>
    <w:rsid w:val="01DB7ED5"/>
    <w:rsid w:val="01F3521E"/>
    <w:rsid w:val="01FA65AD"/>
    <w:rsid w:val="02011047"/>
    <w:rsid w:val="02026FF4"/>
    <w:rsid w:val="02090C04"/>
    <w:rsid w:val="02181129"/>
    <w:rsid w:val="02306473"/>
    <w:rsid w:val="02306E1F"/>
    <w:rsid w:val="02330020"/>
    <w:rsid w:val="023E04E0"/>
    <w:rsid w:val="02443D01"/>
    <w:rsid w:val="02464AFD"/>
    <w:rsid w:val="02663C42"/>
    <w:rsid w:val="026C7A4A"/>
    <w:rsid w:val="02704637"/>
    <w:rsid w:val="027A5751"/>
    <w:rsid w:val="028440C8"/>
    <w:rsid w:val="02856FA3"/>
    <w:rsid w:val="028735E7"/>
    <w:rsid w:val="028E3199"/>
    <w:rsid w:val="0293255D"/>
    <w:rsid w:val="029C1412"/>
    <w:rsid w:val="029F2F49"/>
    <w:rsid w:val="02A4476B"/>
    <w:rsid w:val="02AB3D4B"/>
    <w:rsid w:val="02AE57B2"/>
    <w:rsid w:val="02B50726"/>
    <w:rsid w:val="02D0730E"/>
    <w:rsid w:val="02D908B8"/>
    <w:rsid w:val="02DA63DE"/>
    <w:rsid w:val="02E132C9"/>
    <w:rsid w:val="02E45A44"/>
    <w:rsid w:val="02E95947"/>
    <w:rsid w:val="02F10403"/>
    <w:rsid w:val="02F14338"/>
    <w:rsid w:val="02F22112"/>
    <w:rsid w:val="03123DCA"/>
    <w:rsid w:val="032233CF"/>
    <w:rsid w:val="033A4890"/>
    <w:rsid w:val="03522419"/>
    <w:rsid w:val="03620829"/>
    <w:rsid w:val="03655CA8"/>
    <w:rsid w:val="036D7252"/>
    <w:rsid w:val="036F6B27"/>
    <w:rsid w:val="03894C8D"/>
    <w:rsid w:val="03906A9D"/>
    <w:rsid w:val="039842CF"/>
    <w:rsid w:val="03A74512"/>
    <w:rsid w:val="03B114CA"/>
    <w:rsid w:val="03CD1F8D"/>
    <w:rsid w:val="03F05867"/>
    <w:rsid w:val="040E3662"/>
    <w:rsid w:val="0422003D"/>
    <w:rsid w:val="043438CC"/>
    <w:rsid w:val="043D74ED"/>
    <w:rsid w:val="044572F1"/>
    <w:rsid w:val="04496B17"/>
    <w:rsid w:val="044C6E68"/>
    <w:rsid w:val="0458580D"/>
    <w:rsid w:val="04591348"/>
    <w:rsid w:val="045C06D2"/>
    <w:rsid w:val="046C5C2A"/>
    <w:rsid w:val="047C599F"/>
    <w:rsid w:val="048E7165"/>
    <w:rsid w:val="0490144A"/>
    <w:rsid w:val="04A7062B"/>
    <w:rsid w:val="04B05649"/>
    <w:rsid w:val="04B34B43"/>
    <w:rsid w:val="04C50E90"/>
    <w:rsid w:val="04CB3E7D"/>
    <w:rsid w:val="04CC1135"/>
    <w:rsid w:val="04E46A2A"/>
    <w:rsid w:val="04ED41A7"/>
    <w:rsid w:val="05045994"/>
    <w:rsid w:val="05094D59"/>
    <w:rsid w:val="050A25F3"/>
    <w:rsid w:val="051A51B8"/>
    <w:rsid w:val="051F632A"/>
    <w:rsid w:val="05404098"/>
    <w:rsid w:val="05532442"/>
    <w:rsid w:val="057E1079"/>
    <w:rsid w:val="057E20C9"/>
    <w:rsid w:val="05867055"/>
    <w:rsid w:val="058F2FC7"/>
    <w:rsid w:val="05A76A4C"/>
    <w:rsid w:val="05A94AB8"/>
    <w:rsid w:val="05AB7BBE"/>
    <w:rsid w:val="05C03638"/>
    <w:rsid w:val="05C517B2"/>
    <w:rsid w:val="05D11D1B"/>
    <w:rsid w:val="05D15877"/>
    <w:rsid w:val="05D80E98"/>
    <w:rsid w:val="05DB277C"/>
    <w:rsid w:val="05E84F1D"/>
    <w:rsid w:val="05FE76C6"/>
    <w:rsid w:val="06091DEE"/>
    <w:rsid w:val="06110369"/>
    <w:rsid w:val="06110424"/>
    <w:rsid w:val="06151B1C"/>
    <w:rsid w:val="06165D7B"/>
    <w:rsid w:val="061B5207"/>
    <w:rsid w:val="062D67B7"/>
    <w:rsid w:val="06451B85"/>
    <w:rsid w:val="065564A8"/>
    <w:rsid w:val="065F7326"/>
    <w:rsid w:val="065F76C6"/>
    <w:rsid w:val="06607DEF"/>
    <w:rsid w:val="067601CC"/>
    <w:rsid w:val="068E3768"/>
    <w:rsid w:val="068F0749"/>
    <w:rsid w:val="06935222"/>
    <w:rsid w:val="06A25465"/>
    <w:rsid w:val="06A94740"/>
    <w:rsid w:val="06A967F3"/>
    <w:rsid w:val="06BC02D5"/>
    <w:rsid w:val="06C90C44"/>
    <w:rsid w:val="06CC433B"/>
    <w:rsid w:val="06CE625A"/>
    <w:rsid w:val="06D373CC"/>
    <w:rsid w:val="06E34759"/>
    <w:rsid w:val="06E4782C"/>
    <w:rsid w:val="06F85085"/>
    <w:rsid w:val="06FC4B75"/>
    <w:rsid w:val="06FC6923"/>
    <w:rsid w:val="07047ECE"/>
    <w:rsid w:val="07225089"/>
    <w:rsid w:val="072427F2"/>
    <w:rsid w:val="073C1416"/>
    <w:rsid w:val="073F2CB4"/>
    <w:rsid w:val="07585B24"/>
    <w:rsid w:val="07591FC8"/>
    <w:rsid w:val="07594547"/>
    <w:rsid w:val="0764139A"/>
    <w:rsid w:val="076444C8"/>
    <w:rsid w:val="07724E37"/>
    <w:rsid w:val="078D3874"/>
    <w:rsid w:val="07B75078"/>
    <w:rsid w:val="07BF63BC"/>
    <w:rsid w:val="07E55609"/>
    <w:rsid w:val="07F10452"/>
    <w:rsid w:val="08050D09"/>
    <w:rsid w:val="08070174"/>
    <w:rsid w:val="08165EDF"/>
    <w:rsid w:val="081710BE"/>
    <w:rsid w:val="0823202C"/>
    <w:rsid w:val="082D6FB0"/>
    <w:rsid w:val="08365E65"/>
    <w:rsid w:val="084D3281"/>
    <w:rsid w:val="085F360E"/>
    <w:rsid w:val="08762705"/>
    <w:rsid w:val="08774E5E"/>
    <w:rsid w:val="08874912"/>
    <w:rsid w:val="08907AA9"/>
    <w:rsid w:val="08935065"/>
    <w:rsid w:val="08A13C26"/>
    <w:rsid w:val="08CB75C3"/>
    <w:rsid w:val="08DB5A95"/>
    <w:rsid w:val="08E32C02"/>
    <w:rsid w:val="090237BC"/>
    <w:rsid w:val="09093F5A"/>
    <w:rsid w:val="09104908"/>
    <w:rsid w:val="091D7025"/>
    <w:rsid w:val="092235DE"/>
    <w:rsid w:val="094A7262"/>
    <w:rsid w:val="096F12F9"/>
    <w:rsid w:val="09724E96"/>
    <w:rsid w:val="09781537"/>
    <w:rsid w:val="09782386"/>
    <w:rsid w:val="09840E52"/>
    <w:rsid w:val="09976DD7"/>
    <w:rsid w:val="099C43EE"/>
    <w:rsid w:val="09A942F7"/>
    <w:rsid w:val="09CA0F5B"/>
    <w:rsid w:val="09CE5902"/>
    <w:rsid w:val="09CE7149"/>
    <w:rsid w:val="09D771D4"/>
    <w:rsid w:val="09DA18A6"/>
    <w:rsid w:val="09E4703B"/>
    <w:rsid w:val="09E87633"/>
    <w:rsid w:val="09EA5159"/>
    <w:rsid w:val="09F75189"/>
    <w:rsid w:val="0A067F10"/>
    <w:rsid w:val="0A171CC6"/>
    <w:rsid w:val="0A334D52"/>
    <w:rsid w:val="0A375549"/>
    <w:rsid w:val="0A53223D"/>
    <w:rsid w:val="0A5371A2"/>
    <w:rsid w:val="0A561CDF"/>
    <w:rsid w:val="0A672732"/>
    <w:rsid w:val="0A726EFC"/>
    <w:rsid w:val="0A7669ED"/>
    <w:rsid w:val="0A7E1D45"/>
    <w:rsid w:val="0A8A693C"/>
    <w:rsid w:val="0A94190B"/>
    <w:rsid w:val="0AA51080"/>
    <w:rsid w:val="0AB539B9"/>
    <w:rsid w:val="0AC21C32"/>
    <w:rsid w:val="0ACE4A7B"/>
    <w:rsid w:val="0ADC570F"/>
    <w:rsid w:val="0ADD6A6C"/>
    <w:rsid w:val="0AED7096"/>
    <w:rsid w:val="0B05492D"/>
    <w:rsid w:val="0B13156C"/>
    <w:rsid w:val="0B525061"/>
    <w:rsid w:val="0B5605CC"/>
    <w:rsid w:val="0B7B3717"/>
    <w:rsid w:val="0B8D0492"/>
    <w:rsid w:val="0B9C56E4"/>
    <w:rsid w:val="0BAA109E"/>
    <w:rsid w:val="0BC11EE9"/>
    <w:rsid w:val="0BC43C7E"/>
    <w:rsid w:val="0BC637DE"/>
    <w:rsid w:val="0BC74A2D"/>
    <w:rsid w:val="0BCE5224"/>
    <w:rsid w:val="0BDE35D8"/>
    <w:rsid w:val="0BF26547"/>
    <w:rsid w:val="0C083041"/>
    <w:rsid w:val="0C142961"/>
    <w:rsid w:val="0C171366"/>
    <w:rsid w:val="0C3E79DE"/>
    <w:rsid w:val="0C402010"/>
    <w:rsid w:val="0C430B50"/>
    <w:rsid w:val="0C4B5C57"/>
    <w:rsid w:val="0C4C3EA9"/>
    <w:rsid w:val="0C607954"/>
    <w:rsid w:val="0C80549A"/>
    <w:rsid w:val="0C8C24F7"/>
    <w:rsid w:val="0CA02447"/>
    <w:rsid w:val="0CA75583"/>
    <w:rsid w:val="0CA91BE5"/>
    <w:rsid w:val="0CC47EE3"/>
    <w:rsid w:val="0CC50870"/>
    <w:rsid w:val="0CCC1472"/>
    <w:rsid w:val="0CCD197C"/>
    <w:rsid w:val="0CE00A95"/>
    <w:rsid w:val="0D0522AA"/>
    <w:rsid w:val="0D084CFA"/>
    <w:rsid w:val="0D0A558D"/>
    <w:rsid w:val="0D2A1D10"/>
    <w:rsid w:val="0D2C3CDA"/>
    <w:rsid w:val="0D346667"/>
    <w:rsid w:val="0D3928BE"/>
    <w:rsid w:val="0D447276"/>
    <w:rsid w:val="0D4E2A85"/>
    <w:rsid w:val="0D5D5C42"/>
    <w:rsid w:val="0D674D12"/>
    <w:rsid w:val="0D7C5653"/>
    <w:rsid w:val="0D8851E3"/>
    <w:rsid w:val="0DA33F9D"/>
    <w:rsid w:val="0DAE00D1"/>
    <w:rsid w:val="0DB02C02"/>
    <w:rsid w:val="0DB461AA"/>
    <w:rsid w:val="0DBA12E6"/>
    <w:rsid w:val="0DC61A39"/>
    <w:rsid w:val="0DDD7AB1"/>
    <w:rsid w:val="0DDF2ECD"/>
    <w:rsid w:val="0DF01A1C"/>
    <w:rsid w:val="0E0013EF"/>
    <w:rsid w:val="0E0C7BC1"/>
    <w:rsid w:val="0E1A4E1B"/>
    <w:rsid w:val="0E48034D"/>
    <w:rsid w:val="0E4E6A04"/>
    <w:rsid w:val="0E535EA3"/>
    <w:rsid w:val="0E545297"/>
    <w:rsid w:val="0E656924"/>
    <w:rsid w:val="0E664FCA"/>
    <w:rsid w:val="0E7C24A3"/>
    <w:rsid w:val="0E7D6595"/>
    <w:rsid w:val="0E7E2314"/>
    <w:rsid w:val="0E7E7F4C"/>
    <w:rsid w:val="0E80608C"/>
    <w:rsid w:val="0E8518F4"/>
    <w:rsid w:val="0E8A2A67"/>
    <w:rsid w:val="0E912047"/>
    <w:rsid w:val="0EB9159E"/>
    <w:rsid w:val="0EC51CF1"/>
    <w:rsid w:val="0EC928B0"/>
    <w:rsid w:val="0ED0372F"/>
    <w:rsid w:val="0EE91E83"/>
    <w:rsid w:val="0EEC54CF"/>
    <w:rsid w:val="0EEE44B0"/>
    <w:rsid w:val="0EF60447"/>
    <w:rsid w:val="0EF64C2F"/>
    <w:rsid w:val="0F0022AB"/>
    <w:rsid w:val="0F056591"/>
    <w:rsid w:val="0F2A446E"/>
    <w:rsid w:val="0F2C1D70"/>
    <w:rsid w:val="0F3375A2"/>
    <w:rsid w:val="0F4277E5"/>
    <w:rsid w:val="0F4D478A"/>
    <w:rsid w:val="0F4E7B0D"/>
    <w:rsid w:val="0F580DB7"/>
    <w:rsid w:val="0F5D63CD"/>
    <w:rsid w:val="0F643B5C"/>
    <w:rsid w:val="0F694D72"/>
    <w:rsid w:val="0F73260B"/>
    <w:rsid w:val="0F781923"/>
    <w:rsid w:val="0F7F2F59"/>
    <w:rsid w:val="0F851480"/>
    <w:rsid w:val="0F87344A"/>
    <w:rsid w:val="0F96368D"/>
    <w:rsid w:val="0F9D6D74"/>
    <w:rsid w:val="0FAC7481"/>
    <w:rsid w:val="0FBC7598"/>
    <w:rsid w:val="0FC14A36"/>
    <w:rsid w:val="0FC35BC6"/>
    <w:rsid w:val="0FC47148"/>
    <w:rsid w:val="0FCB3337"/>
    <w:rsid w:val="0FCC0A99"/>
    <w:rsid w:val="0FD0094D"/>
    <w:rsid w:val="0FD06B9F"/>
    <w:rsid w:val="0FD42CD5"/>
    <w:rsid w:val="0FE663C2"/>
    <w:rsid w:val="0FEB2196"/>
    <w:rsid w:val="10136789"/>
    <w:rsid w:val="101A5D6C"/>
    <w:rsid w:val="101D78EE"/>
    <w:rsid w:val="101F3682"/>
    <w:rsid w:val="10270A2C"/>
    <w:rsid w:val="102E1EF2"/>
    <w:rsid w:val="103B0B5B"/>
    <w:rsid w:val="10611EED"/>
    <w:rsid w:val="10645539"/>
    <w:rsid w:val="106D2640"/>
    <w:rsid w:val="108300B5"/>
    <w:rsid w:val="10863702"/>
    <w:rsid w:val="108654B0"/>
    <w:rsid w:val="10923E54"/>
    <w:rsid w:val="10AC1250"/>
    <w:rsid w:val="10B464C1"/>
    <w:rsid w:val="10BC4BEC"/>
    <w:rsid w:val="10D14CC6"/>
    <w:rsid w:val="10D40911"/>
    <w:rsid w:val="10D44BD5"/>
    <w:rsid w:val="10E2302E"/>
    <w:rsid w:val="110E43DB"/>
    <w:rsid w:val="1111197B"/>
    <w:rsid w:val="111D5E14"/>
    <w:rsid w:val="11245617"/>
    <w:rsid w:val="11256311"/>
    <w:rsid w:val="112E1DCF"/>
    <w:rsid w:val="113E7637"/>
    <w:rsid w:val="115B693C"/>
    <w:rsid w:val="116C0B49"/>
    <w:rsid w:val="11785740"/>
    <w:rsid w:val="118E6D12"/>
    <w:rsid w:val="119C79B7"/>
    <w:rsid w:val="11A0496A"/>
    <w:rsid w:val="11A227BD"/>
    <w:rsid w:val="11A93B4C"/>
    <w:rsid w:val="11AE1939"/>
    <w:rsid w:val="11B52B72"/>
    <w:rsid w:val="11B81FE1"/>
    <w:rsid w:val="11BB562D"/>
    <w:rsid w:val="11D32820"/>
    <w:rsid w:val="11F72B09"/>
    <w:rsid w:val="11FA7F03"/>
    <w:rsid w:val="12043D40"/>
    <w:rsid w:val="122723DB"/>
    <w:rsid w:val="12340EC2"/>
    <w:rsid w:val="12372F05"/>
    <w:rsid w:val="12681311"/>
    <w:rsid w:val="126E269F"/>
    <w:rsid w:val="128115FD"/>
    <w:rsid w:val="12843C71"/>
    <w:rsid w:val="129A3494"/>
    <w:rsid w:val="129B16E6"/>
    <w:rsid w:val="12A06CFD"/>
    <w:rsid w:val="12A33E0E"/>
    <w:rsid w:val="12AD3208"/>
    <w:rsid w:val="12B01F29"/>
    <w:rsid w:val="12B04A66"/>
    <w:rsid w:val="12BB5953"/>
    <w:rsid w:val="12BD6324"/>
    <w:rsid w:val="12BE3627"/>
    <w:rsid w:val="12DA67E6"/>
    <w:rsid w:val="12EA7CAB"/>
    <w:rsid w:val="12F157AA"/>
    <w:rsid w:val="12FD788E"/>
    <w:rsid w:val="13007463"/>
    <w:rsid w:val="13051255"/>
    <w:rsid w:val="134B186F"/>
    <w:rsid w:val="13531FC1"/>
    <w:rsid w:val="135B0E75"/>
    <w:rsid w:val="136046DE"/>
    <w:rsid w:val="137141F5"/>
    <w:rsid w:val="138A3509"/>
    <w:rsid w:val="138A52B7"/>
    <w:rsid w:val="13964A7F"/>
    <w:rsid w:val="139D3C46"/>
    <w:rsid w:val="13A740BB"/>
    <w:rsid w:val="13AA5959"/>
    <w:rsid w:val="13DD5D2E"/>
    <w:rsid w:val="13E92E7F"/>
    <w:rsid w:val="13EE1CEA"/>
    <w:rsid w:val="13F439DD"/>
    <w:rsid w:val="140E413A"/>
    <w:rsid w:val="142757AF"/>
    <w:rsid w:val="14302302"/>
    <w:rsid w:val="143F5822"/>
    <w:rsid w:val="14445DAD"/>
    <w:rsid w:val="14690C2C"/>
    <w:rsid w:val="146B2A19"/>
    <w:rsid w:val="14780ADB"/>
    <w:rsid w:val="14795A57"/>
    <w:rsid w:val="147C10A3"/>
    <w:rsid w:val="1481490C"/>
    <w:rsid w:val="148461AA"/>
    <w:rsid w:val="148A5358"/>
    <w:rsid w:val="148E0DD7"/>
    <w:rsid w:val="14983A03"/>
    <w:rsid w:val="149C7E78"/>
    <w:rsid w:val="14A437A0"/>
    <w:rsid w:val="14A64372"/>
    <w:rsid w:val="14A95C11"/>
    <w:rsid w:val="14B02CE2"/>
    <w:rsid w:val="14CB5B87"/>
    <w:rsid w:val="14CD18FF"/>
    <w:rsid w:val="14EC4369"/>
    <w:rsid w:val="14ED7D61"/>
    <w:rsid w:val="150B28EF"/>
    <w:rsid w:val="150C0477"/>
    <w:rsid w:val="150F6190"/>
    <w:rsid w:val="150F6934"/>
    <w:rsid w:val="1517701E"/>
    <w:rsid w:val="152F4368"/>
    <w:rsid w:val="1542068C"/>
    <w:rsid w:val="154611F8"/>
    <w:rsid w:val="15470639"/>
    <w:rsid w:val="155E73DB"/>
    <w:rsid w:val="157606D6"/>
    <w:rsid w:val="15791A87"/>
    <w:rsid w:val="1579367E"/>
    <w:rsid w:val="157A0988"/>
    <w:rsid w:val="158C17BA"/>
    <w:rsid w:val="158F171D"/>
    <w:rsid w:val="15C50828"/>
    <w:rsid w:val="15D020B8"/>
    <w:rsid w:val="15D12754"/>
    <w:rsid w:val="15DB004C"/>
    <w:rsid w:val="15E300E0"/>
    <w:rsid w:val="15EA028F"/>
    <w:rsid w:val="15F335E7"/>
    <w:rsid w:val="16004D2F"/>
    <w:rsid w:val="160F5E4B"/>
    <w:rsid w:val="16111615"/>
    <w:rsid w:val="16287735"/>
    <w:rsid w:val="162B2D81"/>
    <w:rsid w:val="16377978"/>
    <w:rsid w:val="163F4A7E"/>
    <w:rsid w:val="1663076D"/>
    <w:rsid w:val="166C1871"/>
    <w:rsid w:val="167A5AB7"/>
    <w:rsid w:val="16806361"/>
    <w:rsid w:val="16930A8A"/>
    <w:rsid w:val="169A7F07"/>
    <w:rsid w:val="169C3C7F"/>
    <w:rsid w:val="16AD096A"/>
    <w:rsid w:val="16B74615"/>
    <w:rsid w:val="16E45D72"/>
    <w:rsid w:val="16E7029D"/>
    <w:rsid w:val="16E80C72"/>
    <w:rsid w:val="16EB72C3"/>
    <w:rsid w:val="16ED0036"/>
    <w:rsid w:val="16F82261"/>
    <w:rsid w:val="16FA2753"/>
    <w:rsid w:val="170610F8"/>
    <w:rsid w:val="17092996"/>
    <w:rsid w:val="17127A9D"/>
    <w:rsid w:val="172C28AC"/>
    <w:rsid w:val="17304BCD"/>
    <w:rsid w:val="17382937"/>
    <w:rsid w:val="1747041C"/>
    <w:rsid w:val="174C3A48"/>
    <w:rsid w:val="17521955"/>
    <w:rsid w:val="175727B3"/>
    <w:rsid w:val="176A1687"/>
    <w:rsid w:val="176C3651"/>
    <w:rsid w:val="17793FC0"/>
    <w:rsid w:val="17836BED"/>
    <w:rsid w:val="178C3CF3"/>
    <w:rsid w:val="1791130A"/>
    <w:rsid w:val="17AB1339"/>
    <w:rsid w:val="17B40B54"/>
    <w:rsid w:val="17B77E97"/>
    <w:rsid w:val="17B87AA1"/>
    <w:rsid w:val="17CA22B0"/>
    <w:rsid w:val="17D244D2"/>
    <w:rsid w:val="17D53D50"/>
    <w:rsid w:val="17D905BB"/>
    <w:rsid w:val="17F453F5"/>
    <w:rsid w:val="17FE0021"/>
    <w:rsid w:val="18003D99"/>
    <w:rsid w:val="18117D55"/>
    <w:rsid w:val="18122669"/>
    <w:rsid w:val="18147312"/>
    <w:rsid w:val="181C4801"/>
    <w:rsid w:val="1823741C"/>
    <w:rsid w:val="18240C93"/>
    <w:rsid w:val="184571A7"/>
    <w:rsid w:val="18596009"/>
    <w:rsid w:val="1867206B"/>
    <w:rsid w:val="18AB1F57"/>
    <w:rsid w:val="18AB315F"/>
    <w:rsid w:val="18BD1C8B"/>
    <w:rsid w:val="18C82B09"/>
    <w:rsid w:val="18EE62E8"/>
    <w:rsid w:val="19120228"/>
    <w:rsid w:val="19132B6A"/>
    <w:rsid w:val="19143FA0"/>
    <w:rsid w:val="19185113"/>
    <w:rsid w:val="192047F5"/>
    <w:rsid w:val="192B3098"/>
    <w:rsid w:val="19397563"/>
    <w:rsid w:val="193D043C"/>
    <w:rsid w:val="1942771D"/>
    <w:rsid w:val="194B0217"/>
    <w:rsid w:val="196811FE"/>
    <w:rsid w:val="196D545F"/>
    <w:rsid w:val="19743F9E"/>
    <w:rsid w:val="197607B7"/>
    <w:rsid w:val="19831126"/>
    <w:rsid w:val="198B4C64"/>
    <w:rsid w:val="199E386A"/>
    <w:rsid w:val="19AF1F1B"/>
    <w:rsid w:val="19B228EF"/>
    <w:rsid w:val="19C84D8B"/>
    <w:rsid w:val="19C92FDD"/>
    <w:rsid w:val="19FD4A34"/>
    <w:rsid w:val="1A0B1B30"/>
    <w:rsid w:val="1A0F29BA"/>
    <w:rsid w:val="1A155476"/>
    <w:rsid w:val="1A1B2209"/>
    <w:rsid w:val="1A240213"/>
    <w:rsid w:val="1A246465"/>
    <w:rsid w:val="1A27385F"/>
    <w:rsid w:val="1A336D00"/>
    <w:rsid w:val="1A534654"/>
    <w:rsid w:val="1A5F749D"/>
    <w:rsid w:val="1A642D76"/>
    <w:rsid w:val="1A6B4094"/>
    <w:rsid w:val="1A6D091C"/>
    <w:rsid w:val="1A7016AA"/>
    <w:rsid w:val="1A864A2A"/>
    <w:rsid w:val="1A8B64E4"/>
    <w:rsid w:val="1A8C6736"/>
    <w:rsid w:val="1A8D0BFD"/>
    <w:rsid w:val="1A9B5FFB"/>
    <w:rsid w:val="1AA72BF2"/>
    <w:rsid w:val="1AE43847"/>
    <w:rsid w:val="1AE654C9"/>
    <w:rsid w:val="1AE80A1B"/>
    <w:rsid w:val="1B0F13FA"/>
    <w:rsid w:val="1B1A1616"/>
    <w:rsid w:val="1B50328A"/>
    <w:rsid w:val="1B513316"/>
    <w:rsid w:val="1B521D8E"/>
    <w:rsid w:val="1B5F2881"/>
    <w:rsid w:val="1B6C00C4"/>
    <w:rsid w:val="1B8968EB"/>
    <w:rsid w:val="1B8A22F8"/>
    <w:rsid w:val="1BA62EAA"/>
    <w:rsid w:val="1BBE1FA1"/>
    <w:rsid w:val="1BC33BE8"/>
    <w:rsid w:val="1BC93A52"/>
    <w:rsid w:val="1BCD0437"/>
    <w:rsid w:val="1BD45C69"/>
    <w:rsid w:val="1BE8722F"/>
    <w:rsid w:val="1BFB31F6"/>
    <w:rsid w:val="1C2C33AF"/>
    <w:rsid w:val="1C2E35CB"/>
    <w:rsid w:val="1C2F673B"/>
    <w:rsid w:val="1C5566DD"/>
    <w:rsid w:val="1C8A6D4D"/>
    <w:rsid w:val="1C940F54"/>
    <w:rsid w:val="1CA078F9"/>
    <w:rsid w:val="1CA70C88"/>
    <w:rsid w:val="1CAD5C2E"/>
    <w:rsid w:val="1CAD64D3"/>
    <w:rsid w:val="1CC47A8B"/>
    <w:rsid w:val="1CE712D2"/>
    <w:rsid w:val="1CE801C3"/>
    <w:rsid w:val="1CEE0CE4"/>
    <w:rsid w:val="1D01713F"/>
    <w:rsid w:val="1D047E88"/>
    <w:rsid w:val="1D1A76AB"/>
    <w:rsid w:val="1D2E13A9"/>
    <w:rsid w:val="1D33076D"/>
    <w:rsid w:val="1D394E97"/>
    <w:rsid w:val="1D3E1D18"/>
    <w:rsid w:val="1D570900"/>
    <w:rsid w:val="1D5A0B44"/>
    <w:rsid w:val="1D615A9C"/>
    <w:rsid w:val="1D644158"/>
    <w:rsid w:val="1D6502D5"/>
    <w:rsid w:val="1D6923E1"/>
    <w:rsid w:val="1D705321"/>
    <w:rsid w:val="1D756FD8"/>
    <w:rsid w:val="1D8965DF"/>
    <w:rsid w:val="1D8A4831"/>
    <w:rsid w:val="1D8D2573"/>
    <w:rsid w:val="1D9549E3"/>
    <w:rsid w:val="1D965BCC"/>
    <w:rsid w:val="1DA67191"/>
    <w:rsid w:val="1DB01DBE"/>
    <w:rsid w:val="1DB26E76"/>
    <w:rsid w:val="1DB863DE"/>
    <w:rsid w:val="1DDC2BB3"/>
    <w:rsid w:val="1DDE4B7D"/>
    <w:rsid w:val="1E05210A"/>
    <w:rsid w:val="1E29384E"/>
    <w:rsid w:val="1E2B7E65"/>
    <w:rsid w:val="1E3A3326"/>
    <w:rsid w:val="1E577C65"/>
    <w:rsid w:val="1E5E7A6C"/>
    <w:rsid w:val="1E5F7133"/>
    <w:rsid w:val="1E7E3C6A"/>
    <w:rsid w:val="1E8428F3"/>
    <w:rsid w:val="1E8611E5"/>
    <w:rsid w:val="1EA25BAA"/>
    <w:rsid w:val="1EB51D82"/>
    <w:rsid w:val="1ECD748C"/>
    <w:rsid w:val="1EEE7042"/>
    <w:rsid w:val="1F141923"/>
    <w:rsid w:val="1F180F00"/>
    <w:rsid w:val="1F1840BF"/>
    <w:rsid w:val="1F327EB1"/>
    <w:rsid w:val="1F330EF8"/>
    <w:rsid w:val="1F6A2B6C"/>
    <w:rsid w:val="1F6F3198"/>
    <w:rsid w:val="1F786B3C"/>
    <w:rsid w:val="1F794529"/>
    <w:rsid w:val="1F882FF2"/>
    <w:rsid w:val="1F896D6A"/>
    <w:rsid w:val="1F8D685B"/>
    <w:rsid w:val="1FA07FF0"/>
    <w:rsid w:val="1FA92F69"/>
    <w:rsid w:val="1FB262C1"/>
    <w:rsid w:val="1FC349AA"/>
    <w:rsid w:val="1FC57DA2"/>
    <w:rsid w:val="1FCB2EDF"/>
    <w:rsid w:val="1FD91AA0"/>
    <w:rsid w:val="1FF02946"/>
    <w:rsid w:val="1FF468DA"/>
    <w:rsid w:val="1FF77C96"/>
    <w:rsid w:val="1FF95C9E"/>
    <w:rsid w:val="1FF96220"/>
    <w:rsid w:val="20182BD0"/>
    <w:rsid w:val="2020147D"/>
    <w:rsid w:val="20210D51"/>
    <w:rsid w:val="20553134"/>
    <w:rsid w:val="2061066F"/>
    <w:rsid w:val="20660D40"/>
    <w:rsid w:val="20667058"/>
    <w:rsid w:val="207672EF"/>
    <w:rsid w:val="208B6A49"/>
    <w:rsid w:val="208E0239"/>
    <w:rsid w:val="20915ED7"/>
    <w:rsid w:val="20A200E4"/>
    <w:rsid w:val="20BD6CCC"/>
    <w:rsid w:val="20C91B14"/>
    <w:rsid w:val="20E93F65"/>
    <w:rsid w:val="20F6016D"/>
    <w:rsid w:val="20F72005"/>
    <w:rsid w:val="20FE5DCA"/>
    <w:rsid w:val="21020B82"/>
    <w:rsid w:val="21103A0C"/>
    <w:rsid w:val="2116462E"/>
    <w:rsid w:val="21275F39"/>
    <w:rsid w:val="212A6D24"/>
    <w:rsid w:val="215E38F0"/>
    <w:rsid w:val="216D2DBF"/>
    <w:rsid w:val="217429A0"/>
    <w:rsid w:val="21846BBA"/>
    <w:rsid w:val="218C0286"/>
    <w:rsid w:val="21935C7E"/>
    <w:rsid w:val="21A155D2"/>
    <w:rsid w:val="21A50B34"/>
    <w:rsid w:val="21A63C04"/>
    <w:rsid w:val="21BC4F04"/>
    <w:rsid w:val="21E62252"/>
    <w:rsid w:val="21EC71F4"/>
    <w:rsid w:val="220B3055"/>
    <w:rsid w:val="222136BD"/>
    <w:rsid w:val="223E3E3C"/>
    <w:rsid w:val="224D5172"/>
    <w:rsid w:val="22513F59"/>
    <w:rsid w:val="22723AE6"/>
    <w:rsid w:val="227579AC"/>
    <w:rsid w:val="228379AD"/>
    <w:rsid w:val="22963C78"/>
    <w:rsid w:val="22A03340"/>
    <w:rsid w:val="22AE0FC2"/>
    <w:rsid w:val="22AF480C"/>
    <w:rsid w:val="22BE6D2B"/>
    <w:rsid w:val="22C30452"/>
    <w:rsid w:val="22D630A1"/>
    <w:rsid w:val="22D84291"/>
    <w:rsid w:val="22D9311C"/>
    <w:rsid w:val="22E57786"/>
    <w:rsid w:val="22F51C55"/>
    <w:rsid w:val="23014E46"/>
    <w:rsid w:val="230A3907"/>
    <w:rsid w:val="232835BD"/>
    <w:rsid w:val="232952FB"/>
    <w:rsid w:val="233A2855"/>
    <w:rsid w:val="235100D0"/>
    <w:rsid w:val="23670D7E"/>
    <w:rsid w:val="237D091B"/>
    <w:rsid w:val="23893087"/>
    <w:rsid w:val="23AB1C11"/>
    <w:rsid w:val="23AE6D9F"/>
    <w:rsid w:val="23B84BB1"/>
    <w:rsid w:val="23C501A0"/>
    <w:rsid w:val="23C87507"/>
    <w:rsid w:val="23D24BDB"/>
    <w:rsid w:val="23E17CCB"/>
    <w:rsid w:val="23F25F10"/>
    <w:rsid w:val="24042E63"/>
    <w:rsid w:val="24134E54"/>
    <w:rsid w:val="241C782B"/>
    <w:rsid w:val="243146B1"/>
    <w:rsid w:val="24373B22"/>
    <w:rsid w:val="246833F2"/>
    <w:rsid w:val="2486394A"/>
    <w:rsid w:val="249D7540"/>
    <w:rsid w:val="24BD373E"/>
    <w:rsid w:val="24C52D2F"/>
    <w:rsid w:val="24CB707C"/>
    <w:rsid w:val="24DB1E16"/>
    <w:rsid w:val="24F353B2"/>
    <w:rsid w:val="24FE5B05"/>
    <w:rsid w:val="2513335E"/>
    <w:rsid w:val="251E1D03"/>
    <w:rsid w:val="2549294D"/>
    <w:rsid w:val="25506360"/>
    <w:rsid w:val="25560DD8"/>
    <w:rsid w:val="25867FD4"/>
    <w:rsid w:val="258F159E"/>
    <w:rsid w:val="25A5308F"/>
    <w:rsid w:val="25B05051"/>
    <w:rsid w:val="25B833E3"/>
    <w:rsid w:val="25B85CB3"/>
    <w:rsid w:val="25C230C1"/>
    <w:rsid w:val="25C65353"/>
    <w:rsid w:val="25CB1E8B"/>
    <w:rsid w:val="25D24FC7"/>
    <w:rsid w:val="25EB3D27"/>
    <w:rsid w:val="26197521"/>
    <w:rsid w:val="26211AAB"/>
    <w:rsid w:val="26213161"/>
    <w:rsid w:val="262F4DCB"/>
    <w:rsid w:val="26301CEE"/>
    <w:rsid w:val="26307F40"/>
    <w:rsid w:val="264834DB"/>
    <w:rsid w:val="2652435A"/>
    <w:rsid w:val="26802C75"/>
    <w:rsid w:val="26B1342E"/>
    <w:rsid w:val="26B66697"/>
    <w:rsid w:val="26B7240F"/>
    <w:rsid w:val="26BC17D3"/>
    <w:rsid w:val="26D0702D"/>
    <w:rsid w:val="26E256DE"/>
    <w:rsid w:val="26F0573E"/>
    <w:rsid w:val="27070CA1"/>
    <w:rsid w:val="271D04C4"/>
    <w:rsid w:val="272F1FA5"/>
    <w:rsid w:val="273A72C8"/>
    <w:rsid w:val="273D46C2"/>
    <w:rsid w:val="27402404"/>
    <w:rsid w:val="27514A70"/>
    <w:rsid w:val="27547CA6"/>
    <w:rsid w:val="27565784"/>
    <w:rsid w:val="27704CE1"/>
    <w:rsid w:val="27716A62"/>
    <w:rsid w:val="27743E5C"/>
    <w:rsid w:val="277B51EB"/>
    <w:rsid w:val="27873B8F"/>
    <w:rsid w:val="278A5A30"/>
    <w:rsid w:val="278C42F2"/>
    <w:rsid w:val="27906EE8"/>
    <w:rsid w:val="27A74232"/>
    <w:rsid w:val="27AC3B83"/>
    <w:rsid w:val="27C213DD"/>
    <w:rsid w:val="27C2360C"/>
    <w:rsid w:val="27CB1352"/>
    <w:rsid w:val="27D17500"/>
    <w:rsid w:val="27D25BC2"/>
    <w:rsid w:val="27D45EEB"/>
    <w:rsid w:val="27D90502"/>
    <w:rsid w:val="27EC7E96"/>
    <w:rsid w:val="280D0539"/>
    <w:rsid w:val="281255B9"/>
    <w:rsid w:val="28133675"/>
    <w:rsid w:val="281932B0"/>
    <w:rsid w:val="28237594"/>
    <w:rsid w:val="28486C88"/>
    <w:rsid w:val="284B1061"/>
    <w:rsid w:val="285B732B"/>
    <w:rsid w:val="285E0D94"/>
    <w:rsid w:val="285F4B0C"/>
    <w:rsid w:val="285F7048"/>
    <w:rsid w:val="286657DA"/>
    <w:rsid w:val="286A6B64"/>
    <w:rsid w:val="286E1525"/>
    <w:rsid w:val="2872123E"/>
    <w:rsid w:val="287405B8"/>
    <w:rsid w:val="288A7DDB"/>
    <w:rsid w:val="28A609F8"/>
    <w:rsid w:val="28A864B3"/>
    <w:rsid w:val="28CA1C5A"/>
    <w:rsid w:val="28D0685C"/>
    <w:rsid w:val="28D9041B"/>
    <w:rsid w:val="28DB0637"/>
    <w:rsid w:val="28E26277"/>
    <w:rsid w:val="28EA1015"/>
    <w:rsid w:val="28F15491"/>
    <w:rsid w:val="28F53132"/>
    <w:rsid w:val="290A0F1C"/>
    <w:rsid w:val="292C2C40"/>
    <w:rsid w:val="293B29CE"/>
    <w:rsid w:val="29410FE1"/>
    <w:rsid w:val="29467C29"/>
    <w:rsid w:val="29534671"/>
    <w:rsid w:val="295F1A08"/>
    <w:rsid w:val="295F6FD6"/>
    <w:rsid w:val="297C3120"/>
    <w:rsid w:val="29881925"/>
    <w:rsid w:val="29910CF5"/>
    <w:rsid w:val="29915199"/>
    <w:rsid w:val="29A42A5E"/>
    <w:rsid w:val="29A51E8D"/>
    <w:rsid w:val="29C76E0D"/>
    <w:rsid w:val="29D76564"/>
    <w:rsid w:val="29E51041"/>
    <w:rsid w:val="29EC0622"/>
    <w:rsid w:val="2A202079"/>
    <w:rsid w:val="2A263B34"/>
    <w:rsid w:val="2A284D09"/>
    <w:rsid w:val="2A4144C9"/>
    <w:rsid w:val="2A4915D0"/>
    <w:rsid w:val="2A790107"/>
    <w:rsid w:val="2A7A79DB"/>
    <w:rsid w:val="2A866FC8"/>
    <w:rsid w:val="2AA90CCB"/>
    <w:rsid w:val="2AAD417B"/>
    <w:rsid w:val="2AC11AAE"/>
    <w:rsid w:val="2AD43732"/>
    <w:rsid w:val="2AE00186"/>
    <w:rsid w:val="2AFA0B1C"/>
    <w:rsid w:val="2B08148B"/>
    <w:rsid w:val="2B195446"/>
    <w:rsid w:val="2B1B2C00"/>
    <w:rsid w:val="2B1C0A93"/>
    <w:rsid w:val="2B1D5BBE"/>
    <w:rsid w:val="2B2362C5"/>
    <w:rsid w:val="2B3F31FD"/>
    <w:rsid w:val="2B4A1AA4"/>
    <w:rsid w:val="2B5E72FD"/>
    <w:rsid w:val="2B6A7233"/>
    <w:rsid w:val="2B6F7903"/>
    <w:rsid w:val="2B763693"/>
    <w:rsid w:val="2B77208E"/>
    <w:rsid w:val="2B966A97"/>
    <w:rsid w:val="2B9E76FA"/>
    <w:rsid w:val="2BA411B4"/>
    <w:rsid w:val="2BB42F3A"/>
    <w:rsid w:val="2BE47802"/>
    <w:rsid w:val="2C0259D6"/>
    <w:rsid w:val="2C0B2D65"/>
    <w:rsid w:val="2C312009"/>
    <w:rsid w:val="2C423DE9"/>
    <w:rsid w:val="2C527D80"/>
    <w:rsid w:val="2C550700"/>
    <w:rsid w:val="2C714E0E"/>
    <w:rsid w:val="2C752B50"/>
    <w:rsid w:val="2C7566AC"/>
    <w:rsid w:val="2CA927FA"/>
    <w:rsid w:val="2CB25880"/>
    <w:rsid w:val="2CBE6F30"/>
    <w:rsid w:val="2CD23AFF"/>
    <w:rsid w:val="2CDA0C05"/>
    <w:rsid w:val="2CE808B5"/>
    <w:rsid w:val="2CF03F85"/>
    <w:rsid w:val="2CF0667B"/>
    <w:rsid w:val="2CFC5020"/>
    <w:rsid w:val="2D024D94"/>
    <w:rsid w:val="2D104627"/>
    <w:rsid w:val="2D406CBA"/>
    <w:rsid w:val="2D410C84"/>
    <w:rsid w:val="2D430559"/>
    <w:rsid w:val="2D4C1DB6"/>
    <w:rsid w:val="2D574004"/>
    <w:rsid w:val="2D7B3DA4"/>
    <w:rsid w:val="2D7C3A6A"/>
    <w:rsid w:val="2D83275B"/>
    <w:rsid w:val="2D940DB4"/>
    <w:rsid w:val="2D950DB8"/>
    <w:rsid w:val="2D964B2C"/>
    <w:rsid w:val="2D99286E"/>
    <w:rsid w:val="2D9B2143"/>
    <w:rsid w:val="2DA01E4F"/>
    <w:rsid w:val="2DAA0707"/>
    <w:rsid w:val="2DC378EB"/>
    <w:rsid w:val="2DD13898"/>
    <w:rsid w:val="2DD66192"/>
    <w:rsid w:val="2DE03F4E"/>
    <w:rsid w:val="2DED3B70"/>
    <w:rsid w:val="2DFD104F"/>
    <w:rsid w:val="2E01648C"/>
    <w:rsid w:val="2E1D6E22"/>
    <w:rsid w:val="2E244789"/>
    <w:rsid w:val="2E2E4E6A"/>
    <w:rsid w:val="2E4816CD"/>
    <w:rsid w:val="2E497DF1"/>
    <w:rsid w:val="2E504103"/>
    <w:rsid w:val="2E731311"/>
    <w:rsid w:val="2E851584"/>
    <w:rsid w:val="2E951288"/>
    <w:rsid w:val="2E9D534C"/>
    <w:rsid w:val="2ED0406E"/>
    <w:rsid w:val="2ED51684"/>
    <w:rsid w:val="2EE947A0"/>
    <w:rsid w:val="2EF73B91"/>
    <w:rsid w:val="2F011E9C"/>
    <w:rsid w:val="2F0148A3"/>
    <w:rsid w:val="2F0629EA"/>
    <w:rsid w:val="2F0A48A6"/>
    <w:rsid w:val="2F0C6053"/>
    <w:rsid w:val="2F153075"/>
    <w:rsid w:val="2F176141"/>
    <w:rsid w:val="2F2F15F8"/>
    <w:rsid w:val="2F2F348A"/>
    <w:rsid w:val="2F3E7D67"/>
    <w:rsid w:val="2F4862FA"/>
    <w:rsid w:val="2F4F7689"/>
    <w:rsid w:val="2F59444C"/>
    <w:rsid w:val="2F5C77B2"/>
    <w:rsid w:val="2F5F54CC"/>
    <w:rsid w:val="2F6C3EDC"/>
    <w:rsid w:val="2F7075FF"/>
    <w:rsid w:val="2F9E7175"/>
    <w:rsid w:val="2F9F1BB2"/>
    <w:rsid w:val="2FC06408"/>
    <w:rsid w:val="2FD23E16"/>
    <w:rsid w:val="2FE37DD1"/>
    <w:rsid w:val="2FE52979"/>
    <w:rsid w:val="2FEA115F"/>
    <w:rsid w:val="2FEB727A"/>
    <w:rsid w:val="2FF73763"/>
    <w:rsid w:val="2FFD5337"/>
    <w:rsid w:val="300D11B9"/>
    <w:rsid w:val="300F0BC6"/>
    <w:rsid w:val="301134D7"/>
    <w:rsid w:val="30234671"/>
    <w:rsid w:val="3025488D"/>
    <w:rsid w:val="30313232"/>
    <w:rsid w:val="30470360"/>
    <w:rsid w:val="30510301"/>
    <w:rsid w:val="30962CCC"/>
    <w:rsid w:val="30A046BE"/>
    <w:rsid w:val="30A92DC8"/>
    <w:rsid w:val="30AB577E"/>
    <w:rsid w:val="30AE03DF"/>
    <w:rsid w:val="30B53EA4"/>
    <w:rsid w:val="30C47C02"/>
    <w:rsid w:val="30C72117"/>
    <w:rsid w:val="30DD0CC4"/>
    <w:rsid w:val="30E958BB"/>
    <w:rsid w:val="31083F93"/>
    <w:rsid w:val="311A3CC6"/>
    <w:rsid w:val="313C4A50"/>
    <w:rsid w:val="31421B5D"/>
    <w:rsid w:val="31490108"/>
    <w:rsid w:val="314B0324"/>
    <w:rsid w:val="314E1F19"/>
    <w:rsid w:val="31501496"/>
    <w:rsid w:val="317C00D7"/>
    <w:rsid w:val="31927D00"/>
    <w:rsid w:val="31CF4AB1"/>
    <w:rsid w:val="31D8349E"/>
    <w:rsid w:val="31D95F13"/>
    <w:rsid w:val="31F814B9"/>
    <w:rsid w:val="31F831DD"/>
    <w:rsid w:val="3220530C"/>
    <w:rsid w:val="32244DFC"/>
    <w:rsid w:val="322A4ECE"/>
    <w:rsid w:val="324059AE"/>
    <w:rsid w:val="32427031"/>
    <w:rsid w:val="3247615F"/>
    <w:rsid w:val="324E4D0D"/>
    <w:rsid w:val="32562ADC"/>
    <w:rsid w:val="325A45AB"/>
    <w:rsid w:val="326301AD"/>
    <w:rsid w:val="326571C3"/>
    <w:rsid w:val="3287538B"/>
    <w:rsid w:val="32892EB1"/>
    <w:rsid w:val="32A21577"/>
    <w:rsid w:val="32A230EF"/>
    <w:rsid w:val="32A36A1D"/>
    <w:rsid w:val="32A61CB5"/>
    <w:rsid w:val="32AA0725"/>
    <w:rsid w:val="32B36180"/>
    <w:rsid w:val="32B55A55"/>
    <w:rsid w:val="32C71C2C"/>
    <w:rsid w:val="32DC56D7"/>
    <w:rsid w:val="32DE3330"/>
    <w:rsid w:val="32E0684A"/>
    <w:rsid w:val="32E16D41"/>
    <w:rsid w:val="32E62D19"/>
    <w:rsid w:val="33024458"/>
    <w:rsid w:val="33092244"/>
    <w:rsid w:val="330C5891"/>
    <w:rsid w:val="33346CC9"/>
    <w:rsid w:val="33423060"/>
    <w:rsid w:val="33471613"/>
    <w:rsid w:val="335A2AA0"/>
    <w:rsid w:val="33745DF2"/>
    <w:rsid w:val="33947D60"/>
    <w:rsid w:val="33A31C50"/>
    <w:rsid w:val="33A95C37"/>
    <w:rsid w:val="33B40937"/>
    <w:rsid w:val="33C22E71"/>
    <w:rsid w:val="33C645B1"/>
    <w:rsid w:val="33D771A3"/>
    <w:rsid w:val="33D97E69"/>
    <w:rsid w:val="33DC1707"/>
    <w:rsid w:val="33E81E5A"/>
    <w:rsid w:val="340B7BA1"/>
    <w:rsid w:val="34116AFB"/>
    <w:rsid w:val="34140EA1"/>
    <w:rsid w:val="342C69B6"/>
    <w:rsid w:val="3432516A"/>
    <w:rsid w:val="34401C96"/>
    <w:rsid w:val="34700719"/>
    <w:rsid w:val="347A3918"/>
    <w:rsid w:val="348F518F"/>
    <w:rsid w:val="34930017"/>
    <w:rsid w:val="34931DC5"/>
    <w:rsid w:val="349D2C44"/>
    <w:rsid w:val="34A00986"/>
    <w:rsid w:val="34AA710F"/>
    <w:rsid w:val="34C5219B"/>
    <w:rsid w:val="34C63DB0"/>
    <w:rsid w:val="34E6283D"/>
    <w:rsid w:val="34E950E4"/>
    <w:rsid w:val="34F30AB6"/>
    <w:rsid w:val="34FA5F72"/>
    <w:rsid w:val="35071AAC"/>
    <w:rsid w:val="351605A4"/>
    <w:rsid w:val="35170C48"/>
    <w:rsid w:val="352D423C"/>
    <w:rsid w:val="352D7E5E"/>
    <w:rsid w:val="353A66E5"/>
    <w:rsid w:val="35551771"/>
    <w:rsid w:val="355E512E"/>
    <w:rsid w:val="35696FCA"/>
    <w:rsid w:val="356B2D42"/>
    <w:rsid w:val="35780FBB"/>
    <w:rsid w:val="35935DF5"/>
    <w:rsid w:val="3599165E"/>
    <w:rsid w:val="35A16764"/>
    <w:rsid w:val="35B36E83"/>
    <w:rsid w:val="35C27393"/>
    <w:rsid w:val="35DC11FC"/>
    <w:rsid w:val="35E00EF6"/>
    <w:rsid w:val="35E87469"/>
    <w:rsid w:val="35FB4B84"/>
    <w:rsid w:val="36017203"/>
    <w:rsid w:val="36096E54"/>
    <w:rsid w:val="360C18B4"/>
    <w:rsid w:val="3628478F"/>
    <w:rsid w:val="364041CF"/>
    <w:rsid w:val="36442E42"/>
    <w:rsid w:val="365814D0"/>
    <w:rsid w:val="365C5EC9"/>
    <w:rsid w:val="366A124C"/>
    <w:rsid w:val="366F0F07"/>
    <w:rsid w:val="3679323D"/>
    <w:rsid w:val="367C6C23"/>
    <w:rsid w:val="367F6352"/>
    <w:rsid w:val="36820344"/>
    <w:rsid w:val="3684230E"/>
    <w:rsid w:val="369F2DCF"/>
    <w:rsid w:val="36BE50F4"/>
    <w:rsid w:val="36C43BB3"/>
    <w:rsid w:val="36C95F72"/>
    <w:rsid w:val="36D36DF1"/>
    <w:rsid w:val="36DB3646"/>
    <w:rsid w:val="36E62234"/>
    <w:rsid w:val="36E7289C"/>
    <w:rsid w:val="36F506BA"/>
    <w:rsid w:val="37133692"/>
    <w:rsid w:val="37203720"/>
    <w:rsid w:val="37286923"/>
    <w:rsid w:val="373036DF"/>
    <w:rsid w:val="37394EAA"/>
    <w:rsid w:val="374101FF"/>
    <w:rsid w:val="37425F4A"/>
    <w:rsid w:val="37471C07"/>
    <w:rsid w:val="37691503"/>
    <w:rsid w:val="376F3FFF"/>
    <w:rsid w:val="37704640"/>
    <w:rsid w:val="377428C0"/>
    <w:rsid w:val="379320DC"/>
    <w:rsid w:val="379444BF"/>
    <w:rsid w:val="37985945"/>
    <w:rsid w:val="37AB41E8"/>
    <w:rsid w:val="37B22EAA"/>
    <w:rsid w:val="37B2325E"/>
    <w:rsid w:val="37B426A3"/>
    <w:rsid w:val="37BF1123"/>
    <w:rsid w:val="37EF7C5B"/>
    <w:rsid w:val="37F1393F"/>
    <w:rsid w:val="37FE7E9E"/>
    <w:rsid w:val="38156F95"/>
    <w:rsid w:val="383B4C4E"/>
    <w:rsid w:val="38497574"/>
    <w:rsid w:val="384A30E3"/>
    <w:rsid w:val="38765C86"/>
    <w:rsid w:val="387D5266"/>
    <w:rsid w:val="388365F5"/>
    <w:rsid w:val="389425B0"/>
    <w:rsid w:val="3894435E"/>
    <w:rsid w:val="38C22C79"/>
    <w:rsid w:val="38C74D5D"/>
    <w:rsid w:val="38CA5FD2"/>
    <w:rsid w:val="3908401F"/>
    <w:rsid w:val="390F5ED2"/>
    <w:rsid w:val="39186B08"/>
    <w:rsid w:val="391A0D07"/>
    <w:rsid w:val="392231D6"/>
    <w:rsid w:val="39290F4A"/>
    <w:rsid w:val="39465A51"/>
    <w:rsid w:val="395C7DBE"/>
    <w:rsid w:val="396226AE"/>
    <w:rsid w:val="39693A3D"/>
    <w:rsid w:val="39720087"/>
    <w:rsid w:val="39893797"/>
    <w:rsid w:val="399275E0"/>
    <w:rsid w:val="39980C40"/>
    <w:rsid w:val="39A84565"/>
    <w:rsid w:val="39B865C1"/>
    <w:rsid w:val="39CC367A"/>
    <w:rsid w:val="39DD3AE3"/>
    <w:rsid w:val="39F350B4"/>
    <w:rsid w:val="3A0849DF"/>
    <w:rsid w:val="3A1F5309"/>
    <w:rsid w:val="3A2773C7"/>
    <w:rsid w:val="3A371445"/>
    <w:rsid w:val="3A47552D"/>
    <w:rsid w:val="3A573895"/>
    <w:rsid w:val="3A593123"/>
    <w:rsid w:val="3A5C4171"/>
    <w:rsid w:val="3A60397B"/>
    <w:rsid w:val="3A6E1005"/>
    <w:rsid w:val="3A742699"/>
    <w:rsid w:val="3A79380C"/>
    <w:rsid w:val="3A816B64"/>
    <w:rsid w:val="3A8E67D9"/>
    <w:rsid w:val="3A96298E"/>
    <w:rsid w:val="3A982231"/>
    <w:rsid w:val="3A993195"/>
    <w:rsid w:val="3AAD5BAB"/>
    <w:rsid w:val="3AB42A96"/>
    <w:rsid w:val="3B002557"/>
    <w:rsid w:val="3B0F5F1E"/>
    <w:rsid w:val="3B137AD2"/>
    <w:rsid w:val="3B223EA3"/>
    <w:rsid w:val="3B36794F"/>
    <w:rsid w:val="3B5F5296"/>
    <w:rsid w:val="3B6776B0"/>
    <w:rsid w:val="3B8B3E2A"/>
    <w:rsid w:val="3B8B7C9A"/>
    <w:rsid w:val="3BA96372"/>
    <w:rsid w:val="3BAA5C47"/>
    <w:rsid w:val="3BDB07BA"/>
    <w:rsid w:val="3BDE09CB"/>
    <w:rsid w:val="3BEB0739"/>
    <w:rsid w:val="3BEE1FD7"/>
    <w:rsid w:val="3C0525FD"/>
    <w:rsid w:val="3C211692"/>
    <w:rsid w:val="3C335C3C"/>
    <w:rsid w:val="3C544530"/>
    <w:rsid w:val="3C54656F"/>
    <w:rsid w:val="3C6B7ACC"/>
    <w:rsid w:val="3C8075C5"/>
    <w:rsid w:val="3C8C1F1C"/>
    <w:rsid w:val="3C940DD1"/>
    <w:rsid w:val="3CA57A27"/>
    <w:rsid w:val="3CB43221"/>
    <w:rsid w:val="3CBE5E4E"/>
    <w:rsid w:val="3CCB40C7"/>
    <w:rsid w:val="3CE82ECA"/>
    <w:rsid w:val="3D135C2A"/>
    <w:rsid w:val="3D38713C"/>
    <w:rsid w:val="3D3879AE"/>
    <w:rsid w:val="3D545E2B"/>
    <w:rsid w:val="3D580E3A"/>
    <w:rsid w:val="3D7D1865"/>
    <w:rsid w:val="3D862ABB"/>
    <w:rsid w:val="3D9F17DB"/>
    <w:rsid w:val="3DA0146B"/>
    <w:rsid w:val="3DAA3342"/>
    <w:rsid w:val="3DAF2CAC"/>
    <w:rsid w:val="3DB358B8"/>
    <w:rsid w:val="3DB64F42"/>
    <w:rsid w:val="3DD07BE6"/>
    <w:rsid w:val="3DE03BA2"/>
    <w:rsid w:val="3DE2791A"/>
    <w:rsid w:val="3E03739D"/>
    <w:rsid w:val="3E0C2BE9"/>
    <w:rsid w:val="3E300685"/>
    <w:rsid w:val="3E375EB7"/>
    <w:rsid w:val="3E393EEA"/>
    <w:rsid w:val="3E394E4C"/>
    <w:rsid w:val="3E3B469A"/>
    <w:rsid w:val="3E5720B6"/>
    <w:rsid w:val="3E5D5F81"/>
    <w:rsid w:val="3E5E1696"/>
    <w:rsid w:val="3E6622F9"/>
    <w:rsid w:val="3E71733E"/>
    <w:rsid w:val="3E7C7AA0"/>
    <w:rsid w:val="3E810EE1"/>
    <w:rsid w:val="3E950E30"/>
    <w:rsid w:val="3EAA09E3"/>
    <w:rsid w:val="3EB07A18"/>
    <w:rsid w:val="3EB66E5A"/>
    <w:rsid w:val="3EBF7C5B"/>
    <w:rsid w:val="3EC534C3"/>
    <w:rsid w:val="3EE70A6B"/>
    <w:rsid w:val="3EF142B8"/>
    <w:rsid w:val="3F125FDD"/>
    <w:rsid w:val="3F1D32FF"/>
    <w:rsid w:val="3F20234A"/>
    <w:rsid w:val="3F291116"/>
    <w:rsid w:val="3F5D36FC"/>
    <w:rsid w:val="3F6D76B7"/>
    <w:rsid w:val="3F6E7633"/>
    <w:rsid w:val="3F7D78FA"/>
    <w:rsid w:val="3F802D74"/>
    <w:rsid w:val="3F85530B"/>
    <w:rsid w:val="3F8C2233"/>
    <w:rsid w:val="3FAC0491"/>
    <w:rsid w:val="3FC0590E"/>
    <w:rsid w:val="3FC72483"/>
    <w:rsid w:val="3FC85556"/>
    <w:rsid w:val="3FD17C46"/>
    <w:rsid w:val="3FD339BE"/>
    <w:rsid w:val="3FE17825"/>
    <w:rsid w:val="400B59F2"/>
    <w:rsid w:val="40316936"/>
    <w:rsid w:val="40330901"/>
    <w:rsid w:val="40362BA5"/>
    <w:rsid w:val="40750F19"/>
    <w:rsid w:val="407B5A16"/>
    <w:rsid w:val="40907443"/>
    <w:rsid w:val="40907B01"/>
    <w:rsid w:val="409529A8"/>
    <w:rsid w:val="409F1AF2"/>
    <w:rsid w:val="40AA6804"/>
    <w:rsid w:val="40AB66E9"/>
    <w:rsid w:val="40B57568"/>
    <w:rsid w:val="40E67721"/>
    <w:rsid w:val="40EB4D37"/>
    <w:rsid w:val="40FC21E2"/>
    <w:rsid w:val="41083A34"/>
    <w:rsid w:val="410F5C97"/>
    <w:rsid w:val="41227CB9"/>
    <w:rsid w:val="412E258A"/>
    <w:rsid w:val="41401D0D"/>
    <w:rsid w:val="41586871"/>
    <w:rsid w:val="416662E3"/>
    <w:rsid w:val="416F5F43"/>
    <w:rsid w:val="417E41A9"/>
    <w:rsid w:val="418F1B67"/>
    <w:rsid w:val="41970A1B"/>
    <w:rsid w:val="41983493"/>
    <w:rsid w:val="419D0727"/>
    <w:rsid w:val="41AA2E44"/>
    <w:rsid w:val="41B17D2F"/>
    <w:rsid w:val="41B33AA7"/>
    <w:rsid w:val="41B4781F"/>
    <w:rsid w:val="41B74DE9"/>
    <w:rsid w:val="41BF3386"/>
    <w:rsid w:val="41DF2AEE"/>
    <w:rsid w:val="41F36599"/>
    <w:rsid w:val="42107EE6"/>
    <w:rsid w:val="422C3859"/>
    <w:rsid w:val="422E5823"/>
    <w:rsid w:val="423A41C8"/>
    <w:rsid w:val="425A4BD9"/>
    <w:rsid w:val="425E2DCE"/>
    <w:rsid w:val="426C3C56"/>
    <w:rsid w:val="42726817"/>
    <w:rsid w:val="427578C0"/>
    <w:rsid w:val="42841D43"/>
    <w:rsid w:val="429A4C67"/>
    <w:rsid w:val="429C0B48"/>
    <w:rsid w:val="429C2BEE"/>
    <w:rsid w:val="42A15FF5"/>
    <w:rsid w:val="42CB2E75"/>
    <w:rsid w:val="42CB4E20"/>
    <w:rsid w:val="42D47050"/>
    <w:rsid w:val="42D60954"/>
    <w:rsid w:val="42E12896"/>
    <w:rsid w:val="42E2203D"/>
    <w:rsid w:val="42F06635"/>
    <w:rsid w:val="4304332A"/>
    <w:rsid w:val="43273A09"/>
    <w:rsid w:val="433A51A8"/>
    <w:rsid w:val="434370AD"/>
    <w:rsid w:val="4348524F"/>
    <w:rsid w:val="434F5A51"/>
    <w:rsid w:val="43520356"/>
    <w:rsid w:val="435A1504"/>
    <w:rsid w:val="436B44D6"/>
    <w:rsid w:val="43754D8C"/>
    <w:rsid w:val="43754EBB"/>
    <w:rsid w:val="4379289C"/>
    <w:rsid w:val="439269CF"/>
    <w:rsid w:val="43994FCC"/>
    <w:rsid w:val="439B6851"/>
    <w:rsid w:val="43AE287B"/>
    <w:rsid w:val="43AF64F0"/>
    <w:rsid w:val="43C401ED"/>
    <w:rsid w:val="43CA157C"/>
    <w:rsid w:val="43E02B4D"/>
    <w:rsid w:val="43F42155"/>
    <w:rsid w:val="440305EA"/>
    <w:rsid w:val="44066A24"/>
    <w:rsid w:val="441339DB"/>
    <w:rsid w:val="442073EE"/>
    <w:rsid w:val="44211B26"/>
    <w:rsid w:val="4433472D"/>
    <w:rsid w:val="443469F5"/>
    <w:rsid w:val="443609BF"/>
    <w:rsid w:val="444035EC"/>
    <w:rsid w:val="44641089"/>
    <w:rsid w:val="44670B79"/>
    <w:rsid w:val="446C618F"/>
    <w:rsid w:val="44867251"/>
    <w:rsid w:val="449E781A"/>
    <w:rsid w:val="44BD72A5"/>
    <w:rsid w:val="44D93108"/>
    <w:rsid w:val="45062140"/>
    <w:rsid w:val="451707F1"/>
    <w:rsid w:val="451C601F"/>
    <w:rsid w:val="452C3067"/>
    <w:rsid w:val="453C0257"/>
    <w:rsid w:val="454D483C"/>
    <w:rsid w:val="454F7F8B"/>
    <w:rsid w:val="4557299B"/>
    <w:rsid w:val="455E1F7C"/>
    <w:rsid w:val="456D6663"/>
    <w:rsid w:val="45765517"/>
    <w:rsid w:val="459E4A6E"/>
    <w:rsid w:val="45AB2CE7"/>
    <w:rsid w:val="45BD687B"/>
    <w:rsid w:val="45C76993"/>
    <w:rsid w:val="45D109A0"/>
    <w:rsid w:val="45DE7C2C"/>
    <w:rsid w:val="45E17E9C"/>
    <w:rsid w:val="45E8030E"/>
    <w:rsid w:val="45FD79E7"/>
    <w:rsid w:val="46050649"/>
    <w:rsid w:val="46125617"/>
    <w:rsid w:val="461940F5"/>
    <w:rsid w:val="46236D21"/>
    <w:rsid w:val="46256F3D"/>
    <w:rsid w:val="4629258A"/>
    <w:rsid w:val="46366A55"/>
    <w:rsid w:val="463C60DB"/>
    <w:rsid w:val="463E3B5B"/>
    <w:rsid w:val="4652747C"/>
    <w:rsid w:val="46673578"/>
    <w:rsid w:val="468C0D6B"/>
    <w:rsid w:val="46A40828"/>
    <w:rsid w:val="46B36852"/>
    <w:rsid w:val="46C202E8"/>
    <w:rsid w:val="46C6602A"/>
    <w:rsid w:val="46E12E64"/>
    <w:rsid w:val="470A2EDA"/>
    <w:rsid w:val="470D1EAB"/>
    <w:rsid w:val="471A6376"/>
    <w:rsid w:val="471D19C3"/>
    <w:rsid w:val="47395DE1"/>
    <w:rsid w:val="475A5F5D"/>
    <w:rsid w:val="476B0980"/>
    <w:rsid w:val="47834FF6"/>
    <w:rsid w:val="47846176"/>
    <w:rsid w:val="479003E6"/>
    <w:rsid w:val="47927B6A"/>
    <w:rsid w:val="47990A9D"/>
    <w:rsid w:val="479C3360"/>
    <w:rsid w:val="47AE3E5F"/>
    <w:rsid w:val="47C167C9"/>
    <w:rsid w:val="47C44006"/>
    <w:rsid w:val="47FD193E"/>
    <w:rsid w:val="4803415E"/>
    <w:rsid w:val="48034368"/>
    <w:rsid w:val="480A0199"/>
    <w:rsid w:val="482A083B"/>
    <w:rsid w:val="482A25E9"/>
    <w:rsid w:val="483B47F6"/>
    <w:rsid w:val="483D40CA"/>
    <w:rsid w:val="48492975"/>
    <w:rsid w:val="4855584B"/>
    <w:rsid w:val="4893018E"/>
    <w:rsid w:val="489B7854"/>
    <w:rsid w:val="489C0954"/>
    <w:rsid w:val="489C38B5"/>
    <w:rsid w:val="48B90820"/>
    <w:rsid w:val="48BA4B58"/>
    <w:rsid w:val="48CE7418"/>
    <w:rsid w:val="48D507A7"/>
    <w:rsid w:val="48DD753A"/>
    <w:rsid w:val="48EE5728"/>
    <w:rsid w:val="48F57A83"/>
    <w:rsid w:val="48F814B6"/>
    <w:rsid w:val="48FA3D14"/>
    <w:rsid w:val="48FF75D2"/>
    <w:rsid w:val="49056AB4"/>
    <w:rsid w:val="4933371F"/>
    <w:rsid w:val="4951092B"/>
    <w:rsid w:val="495B2173"/>
    <w:rsid w:val="496D695E"/>
    <w:rsid w:val="49750769"/>
    <w:rsid w:val="4989333F"/>
    <w:rsid w:val="49B16B5C"/>
    <w:rsid w:val="49B359A2"/>
    <w:rsid w:val="49B72B37"/>
    <w:rsid w:val="49BA174B"/>
    <w:rsid w:val="49BF133E"/>
    <w:rsid w:val="49E07403"/>
    <w:rsid w:val="49E34292"/>
    <w:rsid w:val="4A040609"/>
    <w:rsid w:val="4A080708"/>
    <w:rsid w:val="4A111CB3"/>
    <w:rsid w:val="4A3B288C"/>
    <w:rsid w:val="4A556518"/>
    <w:rsid w:val="4A5751EC"/>
    <w:rsid w:val="4A6A13C3"/>
    <w:rsid w:val="4A7F112E"/>
    <w:rsid w:val="4A88388F"/>
    <w:rsid w:val="4AA3718A"/>
    <w:rsid w:val="4AB27D33"/>
    <w:rsid w:val="4AC24D5B"/>
    <w:rsid w:val="4AD625B4"/>
    <w:rsid w:val="4AE01685"/>
    <w:rsid w:val="4AE04D36"/>
    <w:rsid w:val="4AE66C9B"/>
    <w:rsid w:val="4AE72A13"/>
    <w:rsid w:val="4AF40C8C"/>
    <w:rsid w:val="4B136D8F"/>
    <w:rsid w:val="4B2A1344"/>
    <w:rsid w:val="4B3E41DB"/>
    <w:rsid w:val="4B44381C"/>
    <w:rsid w:val="4B524F04"/>
    <w:rsid w:val="4B6776B0"/>
    <w:rsid w:val="4B693428"/>
    <w:rsid w:val="4B7C13AE"/>
    <w:rsid w:val="4B8B339F"/>
    <w:rsid w:val="4B920BD1"/>
    <w:rsid w:val="4B93248E"/>
    <w:rsid w:val="4BA55688"/>
    <w:rsid w:val="4BAA42D5"/>
    <w:rsid w:val="4BB26B7D"/>
    <w:rsid w:val="4BC278B8"/>
    <w:rsid w:val="4BD86766"/>
    <w:rsid w:val="4BF947AC"/>
    <w:rsid w:val="4BFA0524"/>
    <w:rsid w:val="4C103A3E"/>
    <w:rsid w:val="4C5C4D3B"/>
    <w:rsid w:val="4C5E0AB3"/>
    <w:rsid w:val="4C6C31D0"/>
    <w:rsid w:val="4C7F7F6C"/>
    <w:rsid w:val="4C91428E"/>
    <w:rsid w:val="4C9F2DAA"/>
    <w:rsid w:val="4CA90C31"/>
    <w:rsid w:val="4CAA3CF8"/>
    <w:rsid w:val="4CB53507"/>
    <w:rsid w:val="4CBB4158"/>
    <w:rsid w:val="4CBD2B96"/>
    <w:rsid w:val="4D0478AD"/>
    <w:rsid w:val="4D137AF0"/>
    <w:rsid w:val="4D2770F7"/>
    <w:rsid w:val="4D2D4072"/>
    <w:rsid w:val="4D50664E"/>
    <w:rsid w:val="4D5516D8"/>
    <w:rsid w:val="4D5559B1"/>
    <w:rsid w:val="4D631B43"/>
    <w:rsid w:val="4D7F029E"/>
    <w:rsid w:val="4D907392"/>
    <w:rsid w:val="4DBA440F"/>
    <w:rsid w:val="4DD21759"/>
    <w:rsid w:val="4DDE1EAC"/>
    <w:rsid w:val="4DE631AB"/>
    <w:rsid w:val="4DED6593"/>
    <w:rsid w:val="4DF349CB"/>
    <w:rsid w:val="4DF51FD6"/>
    <w:rsid w:val="4DF74D1B"/>
    <w:rsid w:val="4E0D66B4"/>
    <w:rsid w:val="4E2248B3"/>
    <w:rsid w:val="4E407554"/>
    <w:rsid w:val="4E570934"/>
    <w:rsid w:val="4E6A1991"/>
    <w:rsid w:val="4E9C3B15"/>
    <w:rsid w:val="4EC310A1"/>
    <w:rsid w:val="4EC70B92"/>
    <w:rsid w:val="4ED6738A"/>
    <w:rsid w:val="4EEA0EAC"/>
    <w:rsid w:val="4EEA4880"/>
    <w:rsid w:val="4EF120B3"/>
    <w:rsid w:val="4F05790C"/>
    <w:rsid w:val="4F132029"/>
    <w:rsid w:val="4F2E5082"/>
    <w:rsid w:val="4F7056D7"/>
    <w:rsid w:val="4F7A6231"/>
    <w:rsid w:val="4F80758F"/>
    <w:rsid w:val="4F8C3B89"/>
    <w:rsid w:val="4F8E345D"/>
    <w:rsid w:val="4F8E5B53"/>
    <w:rsid w:val="4F9E123E"/>
    <w:rsid w:val="4FB40766"/>
    <w:rsid w:val="4FB664B3"/>
    <w:rsid w:val="4FB812D0"/>
    <w:rsid w:val="4FB96E6B"/>
    <w:rsid w:val="4FD26B37"/>
    <w:rsid w:val="4FD73056"/>
    <w:rsid w:val="4FDC68BF"/>
    <w:rsid w:val="4FE17A31"/>
    <w:rsid w:val="4FED59C3"/>
    <w:rsid w:val="500873E1"/>
    <w:rsid w:val="500922C0"/>
    <w:rsid w:val="50152991"/>
    <w:rsid w:val="502D46E8"/>
    <w:rsid w:val="50354221"/>
    <w:rsid w:val="50371D47"/>
    <w:rsid w:val="504110D5"/>
    <w:rsid w:val="504D3DDB"/>
    <w:rsid w:val="50506965"/>
    <w:rsid w:val="505A5A36"/>
    <w:rsid w:val="505F7FEF"/>
    <w:rsid w:val="506D6522"/>
    <w:rsid w:val="508B0096"/>
    <w:rsid w:val="50931080"/>
    <w:rsid w:val="509947B0"/>
    <w:rsid w:val="509B4084"/>
    <w:rsid w:val="50A50C26"/>
    <w:rsid w:val="50B67AAD"/>
    <w:rsid w:val="50BD049E"/>
    <w:rsid w:val="50CB02F1"/>
    <w:rsid w:val="50D15CF8"/>
    <w:rsid w:val="50D2381E"/>
    <w:rsid w:val="50D37CC2"/>
    <w:rsid w:val="50EA57CF"/>
    <w:rsid w:val="50F8703D"/>
    <w:rsid w:val="5101379B"/>
    <w:rsid w:val="51140A87"/>
    <w:rsid w:val="51165E00"/>
    <w:rsid w:val="511A58F1"/>
    <w:rsid w:val="511D4DBE"/>
    <w:rsid w:val="512E3931"/>
    <w:rsid w:val="513364FA"/>
    <w:rsid w:val="51360251"/>
    <w:rsid w:val="513639C0"/>
    <w:rsid w:val="514A7858"/>
    <w:rsid w:val="515406D7"/>
    <w:rsid w:val="516E0650"/>
    <w:rsid w:val="517534C2"/>
    <w:rsid w:val="518B7CD5"/>
    <w:rsid w:val="5196392F"/>
    <w:rsid w:val="519B6306"/>
    <w:rsid w:val="51AE6039"/>
    <w:rsid w:val="51B12811"/>
    <w:rsid w:val="51C71EA5"/>
    <w:rsid w:val="51D35A9F"/>
    <w:rsid w:val="51E03890"/>
    <w:rsid w:val="51E649E3"/>
    <w:rsid w:val="51E732F9"/>
    <w:rsid w:val="51F06651"/>
    <w:rsid w:val="51F111D1"/>
    <w:rsid w:val="51F83758"/>
    <w:rsid w:val="520914C1"/>
    <w:rsid w:val="520D1996"/>
    <w:rsid w:val="5221680B"/>
    <w:rsid w:val="524D24B3"/>
    <w:rsid w:val="52500E9E"/>
    <w:rsid w:val="525E7A5F"/>
    <w:rsid w:val="52754DA9"/>
    <w:rsid w:val="529214B7"/>
    <w:rsid w:val="52946FDD"/>
    <w:rsid w:val="52A62F83"/>
    <w:rsid w:val="52B21B59"/>
    <w:rsid w:val="52D27B05"/>
    <w:rsid w:val="52D675F5"/>
    <w:rsid w:val="52EE3779"/>
    <w:rsid w:val="52FB705C"/>
    <w:rsid w:val="530879CB"/>
    <w:rsid w:val="530F10FA"/>
    <w:rsid w:val="53283BC9"/>
    <w:rsid w:val="532B52B2"/>
    <w:rsid w:val="532C190B"/>
    <w:rsid w:val="53320522"/>
    <w:rsid w:val="533B0ED7"/>
    <w:rsid w:val="5357720E"/>
    <w:rsid w:val="535844AE"/>
    <w:rsid w:val="535911E0"/>
    <w:rsid w:val="536244C6"/>
    <w:rsid w:val="5364772A"/>
    <w:rsid w:val="5371731E"/>
    <w:rsid w:val="53767046"/>
    <w:rsid w:val="5379613C"/>
    <w:rsid w:val="53800BB6"/>
    <w:rsid w:val="538A6632"/>
    <w:rsid w:val="5393341E"/>
    <w:rsid w:val="53A72D40"/>
    <w:rsid w:val="53BC2C8F"/>
    <w:rsid w:val="53D83DBB"/>
    <w:rsid w:val="53EC4BF7"/>
    <w:rsid w:val="53EF08A4"/>
    <w:rsid w:val="53F266B1"/>
    <w:rsid w:val="53F87A3F"/>
    <w:rsid w:val="53FC7E08"/>
    <w:rsid w:val="54085FBC"/>
    <w:rsid w:val="540D253F"/>
    <w:rsid w:val="54201BDE"/>
    <w:rsid w:val="54444A33"/>
    <w:rsid w:val="544875BA"/>
    <w:rsid w:val="544C525F"/>
    <w:rsid w:val="544F79CF"/>
    <w:rsid w:val="54617393"/>
    <w:rsid w:val="546D3BC7"/>
    <w:rsid w:val="547C1FAF"/>
    <w:rsid w:val="54834A3E"/>
    <w:rsid w:val="54866DF9"/>
    <w:rsid w:val="54AF6350"/>
    <w:rsid w:val="54B0031A"/>
    <w:rsid w:val="54C87412"/>
    <w:rsid w:val="54CA0FCF"/>
    <w:rsid w:val="54E16725"/>
    <w:rsid w:val="54EA382C"/>
    <w:rsid w:val="54EC7161"/>
    <w:rsid w:val="54F55730"/>
    <w:rsid w:val="55055F70"/>
    <w:rsid w:val="55172147"/>
    <w:rsid w:val="55286102"/>
    <w:rsid w:val="553D5ACE"/>
    <w:rsid w:val="55487541"/>
    <w:rsid w:val="555250C2"/>
    <w:rsid w:val="555A4E33"/>
    <w:rsid w:val="55652EB2"/>
    <w:rsid w:val="55681B97"/>
    <w:rsid w:val="5586656B"/>
    <w:rsid w:val="55987F2A"/>
    <w:rsid w:val="559E0172"/>
    <w:rsid w:val="55A559A5"/>
    <w:rsid w:val="55B160F8"/>
    <w:rsid w:val="55B97B1D"/>
    <w:rsid w:val="55C167C1"/>
    <w:rsid w:val="55D51410"/>
    <w:rsid w:val="55DB7D2E"/>
    <w:rsid w:val="55E62245"/>
    <w:rsid w:val="55F85AD5"/>
    <w:rsid w:val="561009F5"/>
    <w:rsid w:val="56682C5A"/>
    <w:rsid w:val="56707BDA"/>
    <w:rsid w:val="56764C4B"/>
    <w:rsid w:val="56AB6FEB"/>
    <w:rsid w:val="56B75990"/>
    <w:rsid w:val="56CE500E"/>
    <w:rsid w:val="56D77DE0"/>
    <w:rsid w:val="56DB5FFC"/>
    <w:rsid w:val="56F62076"/>
    <w:rsid w:val="56FF36D3"/>
    <w:rsid w:val="570566FB"/>
    <w:rsid w:val="571653D5"/>
    <w:rsid w:val="572061D0"/>
    <w:rsid w:val="57220CFA"/>
    <w:rsid w:val="57325016"/>
    <w:rsid w:val="57392849"/>
    <w:rsid w:val="573E7711"/>
    <w:rsid w:val="57482A8C"/>
    <w:rsid w:val="5748483A"/>
    <w:rsid w:val="57626175"/>
    <w:rsid w:val="576F626A"/>
    <w:rsid w:val="579E08FE"/>
    <w:rsid w:val="57A52C26"/>
    <w:rsid w:val="57A93CD5"/>
    <w:rsid w:val="57AF009B"/>
    <w:rsid w:val="57D63ECC"/>
    <w:rsid w:val="57E279C8"/>
    <w:rsid w:val="57E502DB"/>
    <w:rsid w:val="57E6725A"/>
    <w:rsid w:val="57F66044"/>
    <w:rsid w:val="57FB18AC"/>
    <w:rsid w:val="58073244"/>
    <w:rsid w:val="5809221B"/>
    <w:rsid w:val="581D02DA"/>
    <w:rsid w:val="583628E4"/>
    <w:rsid w:val="584117FD"/>
    <w:rsid w:val="5866141B"/>
    <w:rsid w:val="58871A4B"/>
    <w:rsid w:val="58984C97"/>
    <w:rsid w:val="58BA3515"/>
    <w:rsid w:val="58BC728D"/>
    <w:rsid w:val="58D073A1"/>
    <w:rsid w:val="58DA27A4"/>
    <w:rsid w:val="58E40592"/>
    <w:rsid w:val="58F74774"/>
    <w:rsid w:val="59070E01"/>
    <w:rsid w:val="591F781C"/>
    <w:rsid w:val="592117E6"/>
    <w:rsid w:val="594D2DC3"/>
    <w:rsid w:val="59534F71"/>
    <w:rsid w:val="5955301D"/>
    <w:rsid w:val="597E09E7"/>
    <w:rsid w:val="597E2608"/>
    <w:rsid w:val="5980650D"/>
    <w:rsid w:val="59853B23"/>
    <w:rsid w:val="598558D1"/>
    <w:rsid w:val="5988764A"/>
    <w:rsid w:val="59B368E2"/>
    <w:rsid w:val="59B47F65"/>
    <w:rsid w:val="59C8717E"/>
    <w:rsid w:val="59CB350B"/>
    <w:rsid w:val="59E6467C"/>
    <w:rsid w:val="59EA7E2A"/>
    <w:rsid w:val="59F36487"/>
    <w:rsid w:val="59F6058C"/>
    <w:rsid w:val="5A040EEC"/>
    <w:rsid w:val="5A0B725C"/>
    <w:rsid w:val="5A1D74F1"/>
    <w:rsid w:val="5A243C8E"/>
    <w:rsid w:val="5A416278"/>
    <w:rsid w:val="5A434A7B"/>
    <w:rsid w:val="5A510D50"/>
    <w:rsid w:val="5A5E5B6E"/>
    <w:rsid w:val="5A6B2D19"/>
    <w:rsid w:val="5A785436"/>
    <w:rsid w:val="5A843C0E"/>
    <w:rsid w:val="5A8527E4"/>
    <w:rsid w:val="5A952E70"/>
    <w:rsid w:val="5AA004E9"/>
    <w:rsid w:val="5AA63D51"/>
    <w:rsid w:val="5AC35F42"/>
    <w:rsid w:val="5AC37341"/>
    <w:rsid w:val="5AC73CC7"/>
    <w:rsid w:val="5ACF62ED"/>
    <w:rsid w:val="5AD129B0"/>
    <w:rsid w:val="5AD77522"/>
    <w:rsid w:val="5ADD1EAF"/>
    <w:rsid w:val="5AE20B01"/>
    <w:rsid w:val="5AEB5C08"/>
    <w:rsid w:val="5AED0BA0"/>
    <w:rsid w:val="5AF2343A"/>
    <w:rsid w:val="5B0962A1"/>
    <w:rsid w:val="5B101E46"/>
    <w:rsid w:val="5B1F1D55"/>
    <w:rsid w:val="5B3A6B8F"/>
    <w:rsid w:val="5B3C119D"/>
    <w:rsid w:val="5B4733B8"/>
    <w:rsid w:val="5B513214"/>
    <w:rsid w:val="5B61411C"/>
    <w:rsid w:val="5B6339F0"/>
    <w:rsid w:val="5B637E94"/>
    <w:rsid w:val="5B7D72CD"/>
    <w:rsid w:val="5B7E4CCE"/>
    <w:rsid w:val="5B845FFE"/>
    <w:rsid w:val="5B910ABF"/>
    <w:rsid w:val="5B960EAF"/>
    <w:rsid w:val="5B9C5154"/>
    <w:rsid w:val="5BA850E3"/>
    <w:rsid w:val="5BAD110F"/>
    <w:rsid w:val="5BB16E51"/>
    <w:rsid w:val="5BC97DAE"/>
    <w:rsid w:val="5BEC7E8A"/>
    <w:rsid w:val="5C334DCA"/>
    <w:rsid w:val="5C401D3B"/>
    <w:rsid w:val="5C4111B4"/>
    <w:rsid w:val="5C4430C2"/>
    <w:rsid w:val="5C4E46A0"/>
    <w:rsid w:val="5C5D0D87"/>
    <w:rsid w:val="5C663EB3"/>
    <w:rsid w:val="5C741C2D"/>
    <w:rsid w:val="5C752C82"/>
    <w:rsid w:val="5C7566EB"/>
    <w:rsid w:val="5C904CB9"/>
    <w:rsid w:val="5CA42730"/>
    <w:rsid w:val="5CA85E0F"/>
    <w:rsid w:val="5CAC27E4"/>
    <w:rsid w:val="5CC4264C"/>
    <w:rsid w:val="5CC52489"/>
    <w:rsid w:val="5CC6692D"/>
    <w:rsid w:val="5CCE7744"/>
    <w:rsid w:val="5CD70159"/>
    <w:rsid w:val="5CE35E3B"/>
    <w:rsid w:val="5CE73E6E"/>
    <w:rsid w:val="5CFC40FC"/>
    <w:rsid w:val="5D0A4D9F"/>
    <w:rsid w:val="5D101956"/>
    <w:rsid w:val="5D113A8F"/>
    <w:rsid w:val="5D123920"/>
    <w:rsid w:val="5D15161C"/>
    <w:rsid w:val="5D172A6B"/>
    <w:rsid w:val="5D245248"/>
    <w:rsid w:val="5D29112B"/>
    <w:rsid w:val="5D451ABF"/>
    <w:rsid w:val="5D504448"/>
    <w:rsid w:val="5D753EAF"/>
    <w:rsid w:val="5D775E79"/>
    <w:rsid w:val="5D867E6A"/>
    <w:rsid w:val="5D872696"/>
    <w:rsid w:val="5DB26EB1"/>
    <w:rsid w:val="5DBE7604"/>
    <w:rsid w:val="5DC02F4A"/>
    <w:rsid w:val="5DC34C1A"/>
    <w:rsid w:val="5DC50EA6"/>
    <w:rsid w:val="5DCC7F73"/>
    <w:rsid w:val="5DCF35BF"/>
    <w:rsid w:val="5DD40BD5"/>
    <w:rsid w:val="5DD62B9F"/>
    <w:rsid w:val="5DDF39D9"/>
    <w:rsid w:val="5DE8778B"/>
    <w:rsid w:val="5E116222"/>
    <w:rsid w:val="5E2C27BF"/>
    <w:rsid w:val="5E3653EC"/>
    <w:rsid w:val="5E40046D"/>
    <w:rsid w:val="5E433F8F"/>
    <w:rsid w:val="5E557D94"/>
    <w:rsid w:val="5E597785"/>
    <w:rsid w:val="5E6847CD"/>
    <w:rsid w:val="5E6F2AD0"/>
    <w:rsid w:val="5E716403"/>
    <w:rsid w:val="5E7A5C21"/>
    <w:rsid w:val="5EB6652D"/>
    <w:rsid w:val="5EC529C2"/>
    <w:rsid w:val="5EC72291"/>
    <w:rsid w:val="5ECA1FD8"/>
    <w:rsid w:val="5ECB647C"/>
    <w:rsid w:val="5ED13367"/>
    <w:rsid w:val="5F01554E"/>
    <w:rsid w:val="5F0B0627"/>
    <w:rsid w:val="5F1167D5"/>
    <w:rsid w:val="5F16521D"/>
    <w:rsid w:val="5F1A4D0E"/>
    <w:rsid w:val="5F3A0F0C"/>
    <w:rsid w:val="5F6D206B"/>
    <w:rsid w:val="5F6E5059"/>
    <w:rsid w:val="5F8F74AA"/>
    <w:rsid w:val="5F970536"/>
    <w:rsid w:val="5FAD16DE"/>
    <w:rsid w:val="5FB23198"/>
    <w:rsid w:val="5FBF0998"/>
    <w:rsid w:val="5FC03B07"/>
    <w:rsid w:val="5FC5111D"/>
    <w:rsid w:val="5FCC4E17"/>
    <w:rsid w:val="5FD82D56"/>
    <w:rsid w:val="5FD96977"/>
    <w:rsid w:val="5FE315A4"/>
    <w:rsid w:val="5FF23595"/>
    <w:rsid w:val="5FF437B1"/>
    <w:rsid w:val="5FF612D7"/>
    <w:rsid w:val="5FFB13B4"/>
    <w:rsid w:val="5FFC08B7"/>
    <w:rsid w:val="601410A2"/>
    <w:rsid w:val="6018192C"/>
    <w:rsid w:val="60235E44"/>
    <w:rsid w:val="60237BF2"/>
    <w:rsid w:val="602A0F80"/>
    <w:rsid w:val="60352037"/>
    <w:rsid w:val="6037544B"/>
    <w:rsid w:val="603911C4"/>
    <w:rsid w:val="60471B32"/>
    <w:rsid w:val="6051650D"/>
    <w:rsid w:val="60634492"/>
    <w:rsid w:val="60696CA2"/>
    <w:rsid w:val="6079317B"/>
    <w:rsid w:val="608C39E9"/>
    <w:rsid w:val="609B470C"/>
    <w:rsid w:val="60A056E7"/>
    <w:rsid w:val="60A07495"/>
    <w:rsid w:val="60A54AAB"/>
    <w:rsid w:val="60B05CE6"/>
    <w:rsid w:val="60D84E80"/>
    <w:rsid w:val="60DF620F"/>
    <w:rsid w:val="60E546D1"/>
    <w:rsid w:val="60F35816"/>
    <w:rsid w:val="60F82E2D"/>
    <w:rsid w:val="60FC42AE"/>
    <w:rsid w:val="61073070"/>
    <w:rsid w:val="610C1BD4"/>
    <w:rsid w:val="61184644"/>
    <w:rsid w:val="61193392"/>
    <w:rsid w:val="61387933"/>
    <w:rsid w:val="614D33DD"/>
    <w:rsid w:val="618C7E4E"/>
    <w:rsid w:val="61937245"/>
    <w:rsid w:val="61C471B3"/>
    <w:rsid w:val="61D218D0"/>
    <w:rsid w:val="61DF27EB"/>
    <w:rsid w:val="61EA6C19"/>
    <w:rsid w:val="61F21F72"/>
    <w:rsid w:val="61F937AE"/>
    <w:rsid w:val="62002A59"/>
    <w:rsid w:val="6211064A"/>
    <w:rsid w:val="623951B5"/>
    <w:rsid w:val="623A1405"/>
    <w:rsid w:val="627C12E5"/>
    <w:rsid w:val="627E1B58"/>
    <w:rsid w:val="62943513"/>
    <w:rsid w:val="629B6165"/>
    <w:rsid w:val="62A50D92"/>
    <w:rsid w:val="62AC0120"/>
    <w:rsid w:val="62AF7E63"/>
    <w:rsid w:val="62B66AFB"/>
    <w:rsid w:val="62C70D09"/>
    <w:rsid w:val="62EA0E9B"/>
    <w:rsid w:val="62EC4C13"/>
    <w:rsid w:val="62F21FD5"/>
    <w:rsid w:val="62FA58C5"/>
    <w:rsid w:val="62FF66F4"/>
    <w:rsid w:val="630A3FE9"/>
    <w:rsid w:val="63181564"/>
    <w:rsid w:val="63281BB9"/>
    <w:rsid w:val="632878B5"/>
    <w:rsid w:val="632A4405"/>
    <w:rsid w:val="63464323"/>
    <w:rsid w:val="6369376B"/>
    <w:rsid w:val="63770981"/>
    <w:rsid w:val="63AE3C76"/>
    <w:rsid w:val="63E861DD"/>
    <w:rsid w:val="63EE1DD7"/>
    <w:rsid w:val="63F7271C"/>
    <w:rsid w:val="64065861"/>
    <w:rsid w:val="64370110"/>
    <w:rsid w:val="643A3DC4"/>
    <w:rsid w:val="64482A88"/>
    <w:rsid w:val="644864D8"/>
    <w:rsid w:val="64496AFC"/>
    <w:rsid w:val="64745287"/>
    <w:rsid w:val="648C4A9C"/>
    <w:rsid w:val="64915A72"/>
    <w:rsid w:val="64990483"/>
    <w:rsid w:val="64B51E00"/>
    <w:rsid w:val="64B67287"/>
    <w:rsid w:val="64C3025B"/>
    <w:rsid w:val="64C91E72"/>
    <w:rsid w:val="64CF20F6"/>
    <w:rsid w:val="64D911C7"/>
    <w:rsid w:val="64DA05F6"/>
    <w:rsid w:val="64EC4A56"/>
    <w:rsid w:val="650224CC"/>
    <w:rsid w:val="65146F62"/>
    <w:rsid w:val="651A4BF2"/>
    <w:rsid w:val="652E20B2"/>
    <w:rsid w:val="65393A14"/>
    <w:rsid w:val="657038D9"/>
    <w:rsid w:val="65796F01"/>
    <w:rsid w:val="658C7FE7"/>
    <w:rsid w:val="659F1910"/>
    <w:rsid w:val="65A45331"/>
    <w:rsid w:val="65A76BCF"/>
    <w:rsid w:val="65C22F56"/>
    <w:rsid w:val="65DA5F53"/>
    <w:rsid w:val="65E240AB"/>
    <w:rsid w:val="65E85149"/>
    <w:rsid w:val="65E9543A"/>
    <w:rsid w:val="65EA511C"/>
    <w:rsid w:val="65F22540"/>
    <w:rsid w:val="660304E6"/>
    <w:rsid w:val="66154481"/>
    <w:rsid w:val="66216982"/>
    <w:rsid w:val="662E109F"/>
    <w:rsid w:val="6650370B"/>
    <w:rsid w:val="6663343E"/>
    <w:rsid w:val="667B5EAC"/>
    <w:rsid w:val="667F18FA"/>
    <w:rsid w:val="66860EDB"/>
    <w:rsid w:val="66A870A3"/>
    <w:rsid w:val="66AF7643"/>
    <w:rsid w:val="66B22CA4"/>
    <w:rsid w:val="66C41A0F"/>
    <w:rsid w:val="66E20E29"/>
    <w:rsid w:val="66E863E9"/>
    <w:rsid w:val="66EC3C4F"/>
    <w:rsid w:val="66F823AF"/>
    <w:rsid w:val="670F7122"/>
    <w:rsid w:val="6727446C"/>
    <w:rsid w:val="67317158"/>
    <w:rsid w:val="67533AB2"/>
    <w:rsid w:val="67662B18"/>
    <w:rsid w:val="676E5BF7"/>
    <w:rsid w:val="67704BE8"/>
    <w:rsid w:val="677D408C"/>
    <w:rsid w:val="678F2B96"/>
    <w:rsid w:val="67952784"/>
    <w:rsid w:val="67A4786A"/>
    <w:rsid w:val="67B556A9"/>
    <w:rsid w:val="67CD660C"/>
    <w:rsid w:val="67E9225D"/>
    <w:rsid w:val="67F25FDA"/>
    <w:rsid w:val="67FA6B01"/>
    <w:rsid w:val="68036BBF"/>
    <w:rsid w:val="680E2F36"/>
    <w:rsid w:val="68120C78"/>
    <w:rsid w:val="68142C42"/>
    <w:rsid w:val="68297AC1"/>
    <w:rsid w:val="682E590A"/>
    <w:rsid w:val="683A01CF"/>
    <w:rsid w:val="685F19E3"/>
    <w:rsid w:val="68632496"/>
    <w:rsid w:val="686D5EAE"/>
    <w:rsid w:val="68770075"/>
    <w:rsid w:val="688D7AD5"/>
    <w:rsid w:val="688E58B4"/>
    <w:rsid w:val="68C774E1"/>
    <w:rsid w:val="68DB5085"/>
    <w:rsid w:val="68F6059A"/>
    <w:rsid w:val="690E57AB"/>
    <w:rsid w:val="691D5B26"/>
    <w:rsid w:val="69270753"/>
    <w:rsid w:val="692A3D9F"/>
    <w:rsid w:val="694311D5"/>
    <w:rsid w:val="694D7B54"/>
    <w:rsid w:val="69557B50"/>
    <w:rsid w:val="696077C1"/>
    <w:rsid w:val="69630E60"/>
    <w:rsid w:val="69783018"/>
    <w:rsid w:val="69877444"/>
    <w:rsid w:val="698C05B6"/>
    <w:rsid w:val="69BE3E7E"/>
    <w:rsid w:val="69C1362E"/>
    <w:rsid w:val="69CC30A8"/>
    <w:rsid w:val="69D361E5"/>
    <w:rsid w:val="69E06B54"/>
    <w:rsid w:val="69EA6755"/>
    <w:rsid w:val="69F2207F"/>
    <w:rsid w:val="6A0549A6"/>
    <w:rsid w:val="6A072332"/>
    <w:rsid w:val="6A1A02B8"/>
    <w:rsid w:val="6A1A2066"/>
    <w:rsid w:val="6A2716B6"/>
    <w:rsid w:val="6A31115D"/>
    <w:rsid w:val="6A385156"/>
    <w:rsid w:val="6A415844"/>
    <w:rsid w:val="6A4F49E6"/>
    <w:rsid w:val="6A58493C"/>
    <w:rsid w:val="6A627569"/>
    <w:rsid w:val="6A745C1A"/>
    <w:rsid w:val="6A773014"/>
    <w:rsid w:val="6A775908"/>
    <w:rsid w:val="6A7C5719"/>
    <w:rsid w:val="6A890F99"/>
    <w:rsid w:val="6A90057A"/>
    <w:rsid w:val="6A967AF0"/>
    <w:rsid w:val="6A975464"/>
    <w:rsid w:val="6AA04B14"/>
    <w:rsid w:val="6AA95198"/>
    <w:rsid w:val="6AB72CEF"/>
    <w:rsid w:val="6AC10733"/>
    <w:rsid w:val="6AE12B83"/>
    <w:rsid w:val="6AFD029C"/>
    <w:rsid w:val="6B144D07"/>
    <w:rsid w:val="6B23319C"/>
    <w:rsid w:val="6B2667E8"/>
    <w:rsid w:val="6B451364"/>
    <w:rsid w:val="6B4F21E3"/>
    <w:rsid w:val="6B503690"/>
    <w:rsid w:val="6B6712DB"/>
    <w:rsid w:val="6B712CDD"/>
    <w:rsid w:val="6B767770"/>
    <w:rsid w:val="6B822A3C"/>
    <w:rsid w:val="6B903B63"/>
    <w:rsid w:val="6B9E2823"/>
    <w:rsid w:val="6BAE16EB"/>
    <w:rsid w:val="6BB42046"/>
    <w:rsid w:val="6BBB0A9C"/>
    <w:rsid w:val="6BBB34D5"/>
    <w:rsid w:val="6BCA2F5B"/>
    <w:rsid w:val="6BE428F7"/>
    <w:rsid w:val="6BE841A7"/>
    <w:rsid w:val="6C117498"/>
    <w:rsid w:val="6C276CBC"/>
    <w:rsid w:val="6C4050F1"/>
    <w:rsid w:val="6C44161C"/>
    <w:rsid w:val="6C465394"/>
    <w:rsid w:val="6C537AB1"/>
    <w:rsid w:val="6C55313C"/>
    <w:rsid w:val="6C5A0E3F"/>
    <w:rsid w:val="6C6972D4"/>
    <w:rsid w:val="6C6C33E9"/>
    <w:rsid w:val="6C764577"/>
    <w:rsid w:val="6C7964CA"/>
    <w:rsid w:val="6C921D3D"/>
    <w:rsid w:val="6CA47019"/>
    <w:rsid w:val="6CB0674F"/>
    <w:rsid w:val="6CBC5656"/>
    <w:rsid w:val="6CD15CA3"/>
    <w:rsid w:val="6CF45339"/>
    <w:rsid w:val="6CF55BF8"/>
    <w:rsid w:val="6D015A2E"/>
    <w:rsid w:val="6D0A4613"/>
    <w:rsid w:val="6D40191B"/>
    <w:rsid w:val="6D4C69DA"/>
    <w:rsid w:val="6D51509E"/>
    <w:rsid w:val="6D54588F"/>
    <w:rsid w:val="6D604233"/>
    <w:rsid w:val="6D8065C6"/>
    <w:rsid w:val="6D812D26"/>
    <w:rsid w:val="6D832370"/>
    <w:rsid w:val="6D930E80"/>
    <w:rsid w:val="6D9C504D"/>
    <w:rsid w:val="6DBE71AC"/>
    <w:rsid w:val="6DD142FD"/>
    <w:rsid w:val="6DD469CF"/>
    <w:rsid w:val="6DD50F1A"/>
    <w:rsid w:val="6DE50BDD"/>
    <w:rsid w:val="6DEA61F3"/>
    <w:rsid w:val="6DEC5AC7"/>
    <w:rsid w:val="6DFA6436"/>
    <w:rsid w:val="6E0065B6"/>
    <w:rsid w:val="6E027099"/>
    <w:rsid w:val="6E192634"/>
    <w:rsid w:val="6E1F40EF"/>
    <w:rsid w:val="6E400306"/>
    <w:rsid w:val="6E600263"/>
    <w:rsid w:val="6E663ACB"/>
    <w:rsid w:val="6E6733A0"/>
    <w:rsid w:val="6E691FE8"/>
    <w:rsid w:val="6E6E2980"/>
    <w:rsid w:val="6E781A51"/>
    <w:rsid w:val="6E7C2A63"/>
    <w:rsid w:val="6E7D2BC3"/>
    <w:rsid w:val="6E8E3022"/>
    <w:rsid w:val="6E8E34CA"/>
    <w:rsid w:val="6EA36ACE"/>
    <w:rsid w:val="6EAC5256"/>
    <w:rsid w:val="6EAE7733"/>
    <w:rsid w:val="6EB505AF"/>
    <w:rsid w:val="6EE93F10"/>
    <w:rsid w:val="6F045092"/>
    <w:rsid w:val="6F0532E4"/>
    <w:rsid w:val="6F076887"/>
    <w:rsid w:val="6F176B74"/>
    <w:rsid w:val="6F275579"/>
    <w:rsid w:val="6F4C5139"/>
    <w:rsid w:val="6F50621C"/>
    <w:rsid w:val="6F5A2F04"/>
    <w:rsid w:val="6F735717"/>
    <w:rsid w:val="6F7915DC"/>
    <w:rsid w:val="6F7A24E8"/>
    <w:rsid w:val="6F8B4AAD"/>
    <w:rsid w:val="6F8F7052"/>
    <w:rsid w:val="6FBD596D"/>
    <w:rsid w:val="6FD26744"/>
    <w:rsid w:val="6FE256F3"/>
    <w:rsid w:val="6FF04591"/>
    <w:rsid w:val="6FF62C2D"/>
    <w:rsid w:val="6FFB46E7"/>
    <w:rsid w:val="7010369C"/>
    <w:rsid w:val="70115CB9"/>
    <w:rsid w:val="70275B8D"/>
    <w:rsid w:val="702C2AF3"/>
    <w:rsid w:val="703379DD"/>
    <w:rsid w:val="70425E72"/>
    <w:rsid w:val="704C3ABC"/>
    <w:rsid w:val="705A715C"/>
    <w:rsid w:val="70790D38"/>
    <w:rsid w:val="70A1703D"/>
    <w:rsid w:val="70AA32D5"/>
    <w:rsid w:val="70B24803"/>
    <w:rsid w:val="70BB4155"/>
    <w:rsid w:val="70BC5C25"/>
    <w:rsid w:val="70C84F84"/>
    <w:rsid w:val="70D25448"/>
    <w:rsid w:val="70EE1B56"/>
    <w:rsid w:val="70F122E6"/>
    <w:rsid w:val="70F322CE"/>
    <w:rsid w:val="70FF188E"/>
    <w:rsid w:val="71184530"/>
    <w:rsid w:val="71213CDA"/>
    <w:rsid w:val="71267542"/>
    <w:rsid w:val="71313FAA"/>
    <w:rsid w:val="713C6F4A"/>
    <w:rsid w:val="71423951"/>
    <w:rsid w:val="71466176"/>
    <w:rsid w:val="71484553"/>
    <w:rsid w:val="7157594D"/>
    <w:rsid w:val="71605A2B"/>
    <w:rsid w:val="7161057A"/>
    <w:rsid w:val="716E2E46"/>
    <w:rsid w:val="717073FB"/>
    <w:rsid w:val="718A7AD1"/>
    <w:rsid w:val="718C6986"/>
    <w:rsid w:val="719A5ABB"/>
    <w:rsid w:val="71A5490B"/>
    <w:rsid w:val="71BE1FB9"/>
    <w:rsid w:val="72023B0B"/>
    <w:rsid w:val="72086C48"/>
    <w:rsid w:val="72223437"/>
    <w:rsid w:val="72347A3D"/>
    <w:rsid w:val="72395053"/>
    <w:rsid w:val="72442376"/>
    <w:rsid w:val="725011AF"/>
    <w:rsid w:val="7258372B"/>
    <w:rsid w:val="72685895"/>
    <w:rsid w:val="72850298"/>
    <w:rsid w:val="72897D89"/>
    <w:rsid w:val="729040A7"/>
    <w:rsid w:val="72944988"/>
    <w:rsid w:val="72BE3DD7"/>
    <w:rsid w:val="72C25048"/>
    <w:rsid w:val="72D84E9F"/>
    <w:rsid w:val="72F524A8"/>
    <w:rsid w:val="730A658C"/>
    <w:rsid w:val="73181B97"/>
    <w:rsid w:val="73247AB1"/>
    <w:rsid w:val="732526E4"/>
    <w:rsid w:val="733C304D"/>
    <w:rsid w:val="734C0DB6"/>
    <w:rsid w:val="735A7977"/>
    <w:rsid w:val="735C73AE"/>
    <w:rsid w:val="735C7E8C"/>
    <w:rsid w:val="735D0897"/>
    <w:rsid w:val="736152C0"/>
    <w:rsid w:val="737717B1"/>
    <w:rsid w:val="738A200A"/>
    <w:rsid w:val="73A155A6"/>
    <w:rsid w:val="73AA52DA"/>
    <w:rsid w:val="73B7347A"/>
    <w:rsid w:val="73C24499"/>
    <w:rsid w:val="73C92BD7"/>
    <w:rsid w:val="73D967B5"/>
    <w:rsid w:val="73DF131C"/>
    <w:rsid w:val="73ED4347"/>
    <w:rsid w:val="73F432C2"/>
    <w:rsid w:val="740B2A1F"/>
    <w:rsid w:val="741D2E7E"/>
    <w:rsid w:val="741F3A86"/>
    <w:rsid w:val="74215F9E"/>
    <w:rsid w:val="74443E74"/>
    <w:rsid w:val="744F0B5E"/>
    <w:rsid w:val="745368A0"/>
    <w:rsid w:val="74650381"/>
    <w:rsid w:val="747C1E3B"/>
    <w:rsid w:val="74A013B9"/>
    <w:rsid w:val="74AE394F"/>
    <w:rsid w:val="74E61186"/>
    <w:rsid w:val="74F95DD4"/>
    <w:rsid w:val="74FA31C0"/>
    <w:rsid w:val="74FC2DCF"/>
    <w:rsid w:val="75120509"/>
    <w:rsid w:val="75143474"/>
    <w:rsid w:val="751753A4"/>
    <w:rsid w:val="7521699E"/>
    <w:rsid w:val="752735C9"/>
    <w:rsid w:val="752E4C17"/>
    <w:rsid w:val="75330480"/>
    <w:rsid w:val="75524DAA"/>
    <w:rsid w:val="755453B3"/>
    <w:rsid w:val="75884D36"/>
    <w:rsid w:val="758B0959"/>
    <w:rsid w:val="759058D2"/>
    <w:rsid w:val="75907D8F"/>
    <w:rsid w:val="75AC4BC2"/>
    <w:rsid w:val="75C73210"/>
    <w:rsid w:val="75CB6E55"/>
    <w:rsid w:val="75DC479C"/>
    <w:rsid w:val="75DD4B1C"/>
    <w:rsid w:val="760065B4"/>
    <w:rsid w:val="760D37EC"/>
    <w:rsid w:val="761107C1"/>
    <w:rsid w:val="76116A13"/>
    <w:rsid w:val="76122813"/>
    <w:rsid w:val="761C0F14"/>
    <w:rsid w:val="761D6E94"/>
    <w:rsid w:val="763A64C3"/>
    <w:rsid w:val="76516E0F"/>
    <w:rsid w:val="76551D8E"/>
    <w:rsid w:val="766A6123"/>
    <w:rsid w:val="766D2A56"/>
    <w:rsid w:val="7670039B"/>
    <w:rsid w:val="76921C2D"/>
    <w:rsid w:val="769767EC"/>
    <w:rsid w:val="769D74C4"/>
    <w:rsid w:val="76AB2420"/>
    <w:rsid w:val="76AF1D88"/>
    <w:rsid w:val="76AF3B36"/>
    <w:rsid w:val="76D55E4D"/>
    <w:rsid w:val="76F22A3C"/>
    <w:rsid w:val="77091498"/>
    <w:rsid w:val="77106FA3"/>
    <w:rsid w:val="77183DD1"/>
    <w:rsid w:val="772C296F"/>
    <w:rsid w:val="773167AF"/>
    <w:rsid w:val="77355E01"/>
    <w:rsid w:val="773732B8"/>
    <w:rsid w:val="773E351C"/>
    <w:rsid w:val="774A0064"/>
    <w:rsid w:val="774F728A"/>
    <w:rsid w:val="77517554"/>
    <w:rsid w:val="77616C83"/>
    <w:rsid w:val="77785788"/>
    <w:rsid w:val="779C67B0"/>
    <w:rsid w:val="77A2369A"/>
    <w:rsid w:val="77A82943"/>
    <w:rsid w:val="77B22DCD"/>
    <w:rsid w:val="77B31818"/>
    <w:rsid w:val="77B70EF4"/>
    <w:rsid w:val="77B91110"/>
    <w:rsid w:val="77C35AEB"/>
    <w:rsid w:val="77C41863"/>
    <w:rsid w:val="77C94778"/>
    <w:rsid w:val="78016613"/>
    <w:rsid w:val="78047EB1"/>
    <w:rsid w:val="78085BF3"/>
    <w:rsid w:val="78334584"/>
    <w:rsid w:val="78370287"/>
    <w:rsid w:val="78511348"/>
    <w:rsid w:val="7851759A"/>
    <w:rsid w:val="7859644F"/>
    <w:rsid w:val="7860333A"/>
    <w:rsid w:val="786E4725"/>
    <w:rsid w:val="78860D70"/>
    <w:rsid w:val="788A485A"/>
    <w:rsid w:val="789733D4"/>
    <w:rsid w:val="789C5A6D"/>
    <w:rsid w:val="78A53107"/>
    <w:rsid w:val="78AA2807"/>
    <w:rsid w:val="78CA4C57"/>
    <w:rsid w:val="78D14EE7"/>
    <w:rsid w:val="78E20E22"/>
    <w:rsid w:val="78EB5A57"/>
    <w:rsid w:val="78EC1071"/>
    <w:rsid w:val="78EF40EB"/>
    <w:rsid w:val="78F543CA"/>
    <w:rsid w:val="791668EE"/>
    <w:rsid w:val="79167A12"/>
    <w:rsid w:val="793D4508"/>
    <w:rsid w:val="79440EAD"/>
    <w:rsid w:val="794B3FEA"/>
    <w:rsid w:val="794B6261"/>
    <w:rsid w:val="795240DA"/>
    <w:rsid w:val="795F1843"/>
    <w:rsid w:val="796E5F2A"/>
    <w:rsid w:val="796F0529"/>
    <w:rsid w:val="79951709"/>
    <w:rsid w:val="799C290D"/>
    <w:rsid w:val="79A67472"/>
    <w:rsid w:val="79B44E94"/>
    <w:rsid w:val="79B55E6A"/>
    <w:rsid w:val="79BC6C95"/>
    <w:rsid w:val="79BE7C63"/>
    <w:rsid w:val="79CB512B"/>
    <w:rsid w:val="79CF6EB5"/>
    <w:rsid w:val="79F3642F"/>
    <w:rsid w:val="79FC1788"/>
    <w:rsid w:val="7A08491B"/>
    <w:rsid w:val="7A0851B3"/>
    <w:rsid w:val="7A0E6DA2"/>
    <w:rsid w:val="7A0F3269"/>
    <w:rsid w:val="7A170370"/>
    <w:rsid w:val="7A4235C4"/>
    <w:rsid w:val="7A4775A8"/>
    <w:rsid w:val="7A5944E4"/>
    <w:rsid w:val="7A760E8E"/>
    <w:rsid w:val="7A792DD8"/>
    <w:rsid w:val="7A79725C"/>
    <w:rsid w:val="7A9750AD"/>
    <w:rsid w:val="7AA27302"/>
    <w:rsid w:val="7AA65A24"/>
    <w:rsid w:val="7AB61937"/>
    <w:rsid w:val="7AC85E0C"/>
    <w:rsid w:val="7ADB75EF"/>
    <w:rsid w:val="7AEE7323"/>
    <w:rsid w:val="7AEF5322"/>
    <w:rsid w:val="7AF542EE"/>
    <w:rsid w:val="7AFF2AEA"/>
    <w:rsid w:val="7B095F0A"/>
    <w:rsid w:val="7B3C796C"/>
    <w:rsid w:val="7B3E461B"/>
    <w:rsid w:val="7B425C5A"/>
    <w:rsid w:val="7B4B659F"/>
    <w:rsid w:val="7B567622"/>
    <w:rsid w:val="7B6C067B"/>
    <w:rsid w:val="7B7711C5"/>
    <w:rsid w:val="7B7B7846"/>
    <w:rsid w:val="7BBA1AA7"/>
    <w:rsid w:val="7BC42654"/>
    <w:rsid w:val="7BCE4A5E"/>
    <w:rsid w:val="7BF003F6"/>
    <w:rsid w:val="7BF07750"/>
    <w:rsid w:val="7BF215FA"/>
    <w:rsid w:val="7C03289D"/>
    <w:rsid w:val="7C185A36"/>
    <w:rsid w:val="7C2954F9"/>
    <w:rsid w:val="7C350F81"/>
    <w:rsid w:val="7C35307A"/>
    <w:rsid w:val="7C3716CE"/>
    <w:rsid w:val="7C5A4544"/>
    <w:rsid w:val="7C790E6E"/>
    <w:rsid w:val="7C86358B"/>
    <w:rsid w:val="7C885555"/>
    <w:rsid w:val="7CA659DB"/>
    <w:rsid w:val="7CA83501"/>
    <w:rsid w:val="7CAF663E"/>
    <w:rsid w:val="7CB71996"/>
    <w:rsid w:val="7CC744C3"/>
    <w:rsid w:val="7CD9190C"/>
    <w:rsid w:val="7CED360A"/>
    <w:rsid w:val="7CED7166"/>
    <w:rsid w:val="7CEF4CF8"/>
    <w:rsid w:val="7D07647A"/>
    <w:rsid w:val="7D0E5A5A"/>
    <w:rsid w:val="7D0F5C52"/>
    <w:rsid w:val="7D1E04AA"/>
    <w:rsid w:val="7D28758B"/>
    <w:rsid w:val="7D3C74B9"/>
    <w:rsid w:val="7D427B5D"/>
    <w:rsid w:val="7D4D5E56"/>
    <w:rsid w:val="7D4F6073"/>
    <w:rsid w:val="7D5A752D"/>
    <w:rsid w:val="7D6269A0"/>
    <w:rsid w:val="7D740952"/>
    <w:rsid w:val="7D7B29C4"/>
    <w:rsid w:val="7D7C77FD"/>
    <w:rsid w:val="7D7D498E"/>
    <w:rsid w:val="7D833176"/>
    <w:rsid w:val="7DAD36BF"/>
    <w:rsid w:val="7DCE6F97"/>
    <w:rsid w:val="7DD32F0D"/>
    <w:rsid w:val="7DEE7639"/>
    <w:rsid w:val="7DF115D5"/>
    <w:rsid w:val="7E0806FB"/>
    <w:rsid w:val="7E08156B"/>
    <w:rsid w:val="7E097FCF"/>
    <w:rsid w:val="7E0B579C"/>
    <w:rsid w:val="7E235535"/>
    <w:rsid w:val="7E285926"/>
    <w:rsid w:val="7E295BF2"/>
    <w:rsid w:val="7E327526"/>
    <w:rsid w:val="7E857F9E"/>
    <w:rsid w:val="7E9957F7"/>
    <w:rsid w:val="7E9C52E7"/>
    <w:rsid w:val="7EA67F14"/>
    <w:rsid w:val="7EB51F05"/>
    <w:rsid w:val="7EC37E4E"/>
    <w:rsid w:val="7EC42148"/>
    <w:rsid w:val="7EC87E8B"/>
    <w:rsid w:val="7EF0118F"/>
    <w:rsid w:val="7EF53B0D"/>
    <w:rsid w:val="7EFE335A"/>
    <w:rsid w:val="7EFE38AC"/>
    <w:rsid w:val="7F002981"/>
    <w:rsid w:val="7F007624"/>
    <w:rsid w:val="7F0569E9"/>
    <w:rsid w:val="7F1A37E8"/>
    <w:rsid w:val="7F2E23E3"/>
    <w:rsid w:val="7F5160B8"/>
    <w:rsid w:val="7F52262D"/>
    <w:rsid w:val="7F6210C3"/>
    <w:rsid w:val="7F673200"/>
    <w:rsid w:val="7F697B44"/>
    <w:rsid w:val="7F7A171B"/>
    <w:rsid w:val="7F7CD28C"/>
    <w:rsid w:val="7F877F9C"/>
    <w:rsid w:val="7F902C16"/>
    <w:rsid w:val="7F945FBF"/>
    <w:rsid w:val="7F97507F"/>
    <w:rsid w:val="7FB32911"/>
    <w:rsid w:val="7FDA1D9D"/>
    <w:rsid w:val="7FE5681A"/>
    <w:rsid w:val="7FF340EA"/>
    <w:rsid w:val="7FF76C79"/>
    <w:rsid w:val="7FFC3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200" w:firstLineChars="200"/>
      <w:jc w:val="both"/>
    </w:pPr>
    <w:rPr>
      <w:rFonts w:ascii="Times New Roman" w:hAnsi="Times New Roman" w:eastAsia="方正仿宋_GBK" w:cs="宋体"/>
      <w:kern w:val="2"/>
      <w:sz w:val="32"/>
      <w:szCs w:val="24"/>
      <w:lang w:val="en-US" w:eastAsia="zh-CN" w:bidi="ar-SA"/>
      <w14:ligatures w14:val="standardContextual"/>
    </w:rPr>
  </w:style>
  <w:style w:type="paragraph" w:styleId="2">
    <w:name w:val="heading 1"/>
    <w:basedOn w:val="1"/>
    <w:next w:val="1"/>
    <w:link w:val="32"/>
    <w:qFormat/>
    <w:uiPriority w:val="0"/>
    <w:pPr>
      <w:keepNext/>
      <w:keepLines/>
      <w:ind w:firstLine="880"/>
      <w:outlineLvl w:val="0"/>
    </w:pPr>
    <w:rPr>
      <w:rFonts w:eastAsia="方正黑体_GBK"/>
      <w:bCs/>
      <w:kern w:val="44"/>
      <w:szCs w:val="44"/>
    </w:rPr>
  </w:style>
  <w:style w:type="paragraph" w:styleId="3">
    <w:name w:val="heading 2"/>
    <w:basedOn w:val="1"/>
    <w:next w:val="1"/>
    <w:link w:val="33"/>
    <w:qFormat/>
    <w:uiPriority w:val="0"/>
    <w:pPr>
      <w:keepNext/>
      <w:keepLines/>
      <w:ind w:firstLine="640"/>
      <w:outlineLvl w:val="1"/>
    </w:pPr>
    <w:rPr>
      <w:rFonts w:eastAsia="方正楷体_GBK"/>
      <w:bCs/>
      <w:szCs w:val="32"/>
      <w14:ligatures w14:val="none"/>
    </w:rPr>
  </w:style>
  <w:style w:type="paragraph" w:styleId="4">
    <w:name w:val="heading 3"/>
    <w:basedOn w:val="1"/>
    <w:next w:val="1"/>
    <w:link w:val="35"/>
    <w:qFormat/>
    <w:uiPriority w:val="0"/>
    <w:pPr>
      <w:jc w:val="left"/>
      <w:outlineLvl w:val="2"/>
    </w:pPr>
    <w:rPr>
      <w:rFonts w:cs="Times New Roman"/>
      <w:b/>
      <w:bCs/>
      <w:kern w:val="0"/>
      <w:szCs w:val="27"/>
      <w14:ligatures w14:val="none"/>
    </w:rPr>
  </w:style>
  <w:style w:type="paragraph" w:styleId="5">
    <w:name w:val="heading 4"/>
    <w:basedOn w:val="1"/>
    <w:next w:val="1"/>
    <w:link w:val="36"/>
    <w:qFormat/>
    <w:uiPriority w:val="9"/>
    <w:pPr>
      <w:keepNext/>
      <w:keepLines/>
      <w:outlineLvl w:val="3"/>
    </w:pPr>
    <w:rPr>
      <w:rFonts w:ascii="等线" w:hAnsi="等线" w:eastAsia="等线"/>
      <w:color w:val="2F5597"/>
      <w:sz w:val="28"/>
      <w:szCs w:val="28"/>
    </w:rPr>
  </w:style>
  <w:style w:type="paragraph" w:styleId="6">
    <w:name w:val="heading 5"/>
    <w:basedOn w:val="1"/>
    <w:next w:val="1"/>
    <w:link w:val="37"/>
    <w:qFormat/>
    <w:uiPriority w:val="9"/>
    <w:pPr>
      <w:keepNext/>
      <w:keepLines/>
      <w:spacing w:before="80" w:after="40"/>
      <w:outlineLvl w:val="4"/>
    </w:pPr>
    <w:rPr>
      <w:rFonts w:ascii="等线" w:hAnsi="等线" w:eastAsia="等线"/>
      <w:color w:val="2F5597"/>
      <w:sz w:val="24"/>
    </w:rPr>
  </w:style>
  <w:style w:type="paragraph" w:styleId="7">
    <w:name w:val="heading 6"/>
    <w:basedOn w:val="1"/>
    <w:next w:val="1"/>
    <w:link w:val="38"/>
    <w:qFormat/>
    <w:uiPriority w:val="9"/>
    <w:pPr>
      <w:keepNext/>
      <w:keepLines/>
      <w:spacing w:before="40"/>
      <w:outlineLvl w:val="5"/>
    </w:pPr>
    <w:rPr>
      <w:rFonts w:ascii="等线" w:hAnsi="等线" w:eastAsia="等线"/>
      <w:b/>
      <w:bCs/>
      <w:color w:val="2F5597"/>
    </w:rPr>
  </w:style>
  <w:style w:type="paragraph" w:styleId="8">
    <w:name w:val="heading 7"/>
    <w:basedOn w:val="1"/>
    <w:next w:val="1"/>
    <w:link w:val="39"/>
    <w:qFormat/>
    <w:uiPriority w:val="9"/>
    <w:pPr>
      <w:keepNext/>
      <w:keepLines/>
      <w:spacing w:before="40"/>
      <w:outlineLvl w:val="6"/>
    </w:pPr>
    <w:rPr>
      <w:rFonts w:ascii="等线" w:hAnsi="等线" w:eastAsia="等线"/>
      <w:b/>
      <w:bCs/>
      <w:color w:val="595959"/>
    </w:rPr>
  </w:style>
  <w:style w:type="paragraph" w:styleId="9">
    <w:name w:val="heading 8"/>
    <w:basedOn w:val="1"/>
    <w:next w:val="1"/>
    <w:link w:val="40"/>
    <w:qFormat/>
    <w:uiPriority w:val="9"/>
    <w:pPr>
      <w:keepNext/>
      <w:keepLines/>
      <w:outlineLvl w:val="7"/>
    </w:pPr>
    <w:rPr>
      <w:rFonts w:ascii="等线" w:hAnsi="等线" w:eastAsia="等线"/>
      <w:color w:val="595959"/>
    </w:rPr>
  </w:style>
  <w:style w:type="paragraph" w:styleId="10">
    <w:name w:val="heading 9"/>
    <w:basedOn w:val="1"/>
    <w:next w:val="1"/>
    <w:link w:val="41"/>
    <w:qFormat/>
    <w:uiPriority w:val="9"/>
    <w:pPr>
      <w:keepNext/>
      <w:keepLines/>
      <w:outlineLvl w:val="8"/>
    </w:pPr>
    <w:rPr>
      <w:rFonts w:ascii="等线" w:hAnsi="等线" w:eastAsia="等线 Light"/>
      <w:color w:val="595959"/>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35"/>
    <w:rPr>
      <w:rFonts w:ascii="Arial" w:hAnsi="Arial" w:eastAsia="黑体"/>
      <w:sz w:val="20"/>
    </w:rPr>
  </w:style>
  <w:style w:type="paragraph" w:styleId="12">
    <w:name w:val="annotation text"/>
    <w:basedOn w:val="1"/>
    <w:link w:val="57"/>
    <w:qFormat/>
    <w:uiPriority w:val="0"/>
    <w:pPr>
      <w:jc w:val="left"/>
    </w:pPr>
  </w:style>
  <w:style w:type="paragraph" w:styleId="13">
    <w:name w:val="toc 3"/>
    <w:basedOn w:val="1"/>
    <w:next w:val="1"/>
    <w:qFormat/>
    <w:uiPriority w:val="0"/>
    <w:pPr>
      <w:ind w:left="640" w:leftChars="200" w:firstLine="0" w:firstLineChars="0"/>
    </w:pPr>
    <w:rPr>
      <w:rFonts w:ascii="等线" w:hAnsi="等线"/>
      <w14:ligatures w14:val="none"/>
    </w:rPr>
  </w:style>
  <w:style w:type="paragraph" w:styleId="14">
    <w:name w:val="endnote text"/>
    <w:basedOn w:val="1"/>
    <w:qFormat/>
    <w:uiPriority w:val="0"/>
    <w:pPr>
      <w:snapToGrid w:val="0"/>
      <w:jc w:val="left"/>
    </w:pPr>
  </w:style>
  <w:style w:type="paragraph" w:styleId="15">
    <w:name w:val="Balloon Text"/>
    <w:basedOn w:val="1"/>
    <w:link w:val="55"/>
    <w:qFormat/>
    <w:uiPriority w:val="0"/>
    <w:pPr>
      <w:spacing w:line="240" w:lineRule="auto"/>
    </w:pPr>
    <w:rPr>
      <w:sz w:val="18"/>
      <w:szCs w:val="18"/>
    </w:rPr>
  </w:style>
  <w:style w:type="paragraph" w:styleId="16">
    <w:name w:val="footer"/>
    <w:basedOn w:val="1"/>
    <w:link w:val="51"/>
    <w:qFormat/>
    <w:uiPriority w:val="99"/>
    <w:pPr>
      <w:tabs>
        <w:tab w:val="center" w:pos="4153"/>
        <w:tab w:val="right" w:pos="8306"/>
      </w:tabs>
      <w:snapToGrid w:val="0"/>
      <w:jc w:val="left"/>
    </w:pPr>
    <w:rPr>
      <w:sz w:val="18"/>
      <w:szCs w:val="18"/>
    </w:rPr>
  </w:style>
  <w:style w:type="paragraph" w:styleId="17">
    <w:name w:val="header"/>
    <w:basedOn w:val="1"/>
    <w:link w:val="50"/>
    <w:qFormat/>
    <w:uiPriority w:val="99"/>
    <w:pPr>
      <w:tabs>
        <w:tab w:val="center" w:pos="4153"/>
        <w:tab w:val="right" w:pos="8306"/>
      </w:tabs>
      <w:snapToGrid w:val="0"/>
      <w:jc w:val="center"/>
    </w:pPr>
    <w:rPr>
      <w:sz w:val="18"/>
      <w:szCs w:val="18"/>
    </w:rPr>
  </w:style>
  <w:style w:type="paragraph" w:styleId="18">
    <w:name w:val="toc 1"/>
    <w:basedOn w:val="1"/>
    <w:next w:val="1"/>
    <w:qFormat/>
    <w:uiPriority w:val="39"/>
    <w:pPr>
      <w:ind w:firstLine="0" w:firstLineChars="0"/>
    </w:pPr>
    <w:rPr>
      <w:rFonts w:ascii="等线" w:hAnsi="等线" w:eastAsia="方正黑体_GBK"/>
      <w14:ligatures w14:val="none"/>
    </w:rPr>
  </w:style>
  <w:style w:type="paragraph" w:styleId="19">
    <w:name w:val="Subtitle"/>
    <w:basedOn w:val="1"/>
    <w:next w:val="1"/>
    <w:link w:val="42"/>
    <w:qFormat/>
    <w:uiPriority w:val="11"/>
    <w:pPr>
      <w:spacing w:after="160"/>
      <w:jc w:val="center"/>
    </w:pPr>
    <w:rPr>
      <w:rFonts w:ascii="等线 Light" w:hAnsi="等线 Light" w:eastAsia="等线 Light"/>
      <w:color w:val="595959"/>
      <w:spacing w:val="15"/>
      <w:sz w:val="28"/>
      <w:szCs w:val="28"/>
    </w:rPr>
  </w:style>
  <w:style w:type="paragraph" w:styleId="20">
    <w:name w:val="footnote text"/>
    <w:basedOn w:val="1"/>
    <w:qFormat/>
    <w:uiPriority w:val="0"/>
    <w:pPr>
      <w:snapToGrid w:val="0"/>
      <w:jc w:val="left"/>
    </w:pPr>
    <w:rPr>
      <w:sz w:val="18"/>
    </w:rPr>
  </w:style>
  <w:style w:type="paragraph" w:styleId="21">
    <w:name w:val="toc 2"/>
    <w:basedOn w:val="1"/>
    <w:next w:val="1"/>
    <w:qFormat/>
    <w:uiPriority w:val="39"/>
    <w:pPr>
      <w:ind w:left="320" w:leftChars="100" w:firstLine="0" w:firstLineChars="0"/>
    </w:pPr>
    <w:rPr>
      <w:rFonts w:ascii="等线" w:hAnsi="等线" w:eastAsia="方正楷体_GBK"/>
      <w14:ligatures w14:val="none"/>
    </w:rPr>
  </w:style>
  <w:style w:type="paragraph" w:styleId="22">
    <w:name w:val="Normal (Web)"/>
    <w:basedOn w:val="1"/>
    <w:qFormat/>
    <w:uiPriority w:val="99"/>
    <w:pPr>
      <w:spacing w:beforeAutospacing="1" w:afterAutospacing="1"/>
      <w:jc w:val="left"/>
    </w:pPr>
    <w:rPr>
      <w:rFonts w:cs="Times New Roman"/>
      <w:kern w:val="0"/>
      <w:sz w:val="24"/>
    </w:rPr>
  </w:style>
  <w:style w:type="paragraph" w:styleId="23">
    <w:name w:val="Title"/>
    <w:basedOn w:val="1"/>
    <w:next w:val="1"/>
    <w:link w:val="34"/>
    <w:qFormat/>
    <w:uiPriority w:val="0"/>
    <w:pPr>
      <w:spacing w:line="590" w:lineRule="exact"/>
      <w:ind w:left="-141" w:leftChars="-44" w:right="-58" w:rightChars="-18" w:firstLine="0" w:firstLineChars="0"/>
      <w:jc w:val="center"/>
      <w:outlineLvl w:val="0"/>
    </w:pPr>
    <w:rPr>
      <w:rFonts w:eastAsia="方正小标宋_GBK" w:cs="Times New Roman"/>
      <w:bCs/>
      <w:sz w:val="44"/>
      <w:szCs w:val="32"/>
    </w:rPr>
  </w:style>
  <w:style w:type="paragraph" w:styleId="24">
    <w:name w:val="annotation subject"/>
    <w:basedOn w:val="12"/>
    <w:next w:val="12"/>
    <w:link w:val="58"/>
    <w:qFormat/>
    <w:uiPriority w:val="0"/>
    <w:rPr>
      <w:b/>
      <w:bCs/>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22"/>
    <w:rPr>
      <w:b/>
    </w:rPr>
  </w:style>
  <w:style w:type="character" w:styleId="29">
    <w:name w:val="endnote reference"/>
    <w:basedOn w:val="27"/>
    <w:qFormat/>
    <w:uiPriority w:val="0"/>
    <w:rPr>
      <w:vertAlign w:val="superscript"/>
    </w:rPr>
  </w:style>
  <w:style w:type="character" w:styleId="30">
    <w:name w:val="annotation reference"/>
    <w:basedOn w:val="27"/>
    <w:qFormat/>
    <w:uiPriority w:val="0"/>
    <w:rPr>
      <w:sz w:val="21"/>
      <w:szCs w:val="21"/>
    </w:rPr>
  </w:style>
  <w:style w:type="character" w:styleId="31">
    <w:name w:val="footnote reference"/>
    <w:basedOn w:val="27"/>
    <w:qFormat/>
    <w:uiPriority w:val="0"/>
    <w:rPr>
      <w:vertAlign w:val="superscript"/>
    </w:rPr>
  </w:style>
  <w:style w:type="character" w:customStyle="1" w:styleId="32">
    <w:name w:val="标题 1 字符"/>
    <w:basedOn w:val="27"/>
    <w:link w:val="2"/>
    <w:qFormat/>
    <w:uiPriority w:val="0"/>
    <w:rPr>
      <w:rFonts w:eastAsia="方正黑体_GBK"/>
      <w:bCs/>
      <w:kern w:val="44"/>
      <w:sz w:val="32"/>
      <w:szCs w:val="44"/>
    </w:rPr>
  </w:style>
  <w:style w:type="character" w:customStyle="1" w:styleId="33">
    <w:name w:val="标题 2 字符"/>
    <w:basedOn w:val="27"/>
    <w:link w:val="3"/>
    <w:qFormat/>
    <w:uiPriority w:val="0"/>
    <w:rPr>
      <w:rFonts w:ascii="Times New Roman" w:hAnsi="Times New Roman" w:eastAsia="方正楷体_GBK" w:cs="宋体"/>
      <w:bCs/>
      <w:sz w:val="32"/>
      <w:szCs w:val="32"/>
      <w14:ligatures w14:val="none"/>
    </w:rPr>
  </w:style>
  <w:style w:type="character" w:customStyle="1" w:styleId="34">
    <w:name w:val="标题 字符"/>
    <w:basedOn w:val="27"/>
    <w:link w:val="23"/>
    <w:qFormat/>
    <w:uiPriority w:val="0"/>
    <w:rPr>
      <w:rFonts w:ascii="Times New Roman" w:hAnsi="Times New Roman" w:eastAsia="方正小标宋_GBK" w:cs="Times New Roman"/>
      <w:bCs/>
      <w:sz w:val="44"/>
      <w:szCs w:val="32"/>
    </w:rPr>
  </w:style>
  <w:style w:type="character" w:customStyle="1" w:styleId="35">
    <w:name w:val="标题 3 字符"/>
    <w:basedOn w:val="27"/>
    <w:link w:val="4"/>
    <w:qFormat/>
    <w:uiPriority w:val="0"/>
    <w:rPr>
      <w:rFonts w:hint="default" w:ascii="Times New Roman" w:hAnsi="Times New Roman" w:eastAsia="方正仿宋_GBK" w:cs="Times New Roman"/>
      <w:b/>
      <w:bCs/>
      <w:kern w:val="0"/>
      <w:sz w:val="32"/>
      <w:szCs w:val="27"/>
      <w14:ligatures w14:val="none"/>
    </w:rPr>
  </w:style>
  <w:style w:type="character" w:customStyle="1" w:styleId="36">
    <w:name w:val="标题 4 字符"/>
    <w:basedOn w:val="27"/>
    <w:link w:val="5"/>
    <w:qFormat/>
    <w:uiPriority w:val="9"/>
    <w:rPr>
      <w:rFonts w:eastAsia="等线" w:cs="宋体"/>
      <w:color w:val="2F5597"/>
      <w:sz w:val="28"/>
      <w:szCs w:val="28"/>
    </w:rPr>
  </w:style>
  <w:style w:type="character" w:customStyle="1" w:styleId="37">
    <w:name w:val="标题 5 字符"/>
    <w:basedOn w:val="27"/>
    <w:link w:val="6"/>
    <w:qFormat/>
    <w:uiPriority w:val="9"/>
    <w:rPr>
      <w:rFonts w:cs="宋体"/>
      <w:color w:val="2F5597"/>
      <w:sz w:val="24"/>
    </w:rPr>
  </w:style>
  <w:style w:type="character" w:customStyle="1" w:styleId="38">
    <w:name w:val="标题 6 字符"/>
    <w:basedOn w:val="27"/>
    <w:link w:val="7"/>
    <w:qFormat/>
    <w:uiPriority w:val="9"/>
    <w:rPr>
      <w:rFonts w:cs="宋体"/>
      <w:b/>
      <w:bCs/>
      <w:color w:val="2F5597"/>
      <w:sz w:val="32"/>
    </w:rPr>
  </w:style>
  <w:style w:type="character" w:customStyle="1" w:styleId="39">
    <w:name w:val="标题 7 字符"/>
    <w:basedOn w:val="27"/>
    <w:link w:val="8"/>
    <w:qFormat/>
    <w:uiPriority w:val="9"/>
    <w:rPr>
      <w:rFonts w:cs="宋体"/>
      <w:b/>
      <w:bCs/>
      <w:color w:val="595959"/>
      <w:sz w:val="32"/>
    </w:rPr>
  </w:style>
  <w:style w:type="character" w:customStyle="1" w:styleId="40">
    <w:name w:val="标题 8 字符"/>
    <w:basedOn w:val="27"/>
    <w:link w:val="9"/>
    <w:qFormat/>
    <w:uiPriority w:val="9"/>
    <w:rPr>
      <w:rFonts w:cs="宋体"/>
      <w:color w:val="595959"/>
      <w:sz w:val="32"/>
    </w:rPr>
  </w:style>
  <w:style w:type="character" w:customStyle="1" w:styleId="41">
    <w:name w:val="标题 9 字符"/>
    <w:basedOn w:val="27"/>
    <w:link w:val="10"/>
    <w:qFormat/>
    <w:uiPriority w:val="9"/>
    <w:rPr>
      <w:rFonts w:eastAsia="等线 Light" w:cs="宋体"/>
      <w:color w:val="595959"/>
      <w:sz w:val="32"/>
    </w:rPr>
  </w:style>
  <w:style w:type="character" w:customStyle="1" w:styleId="42">
    <w:name w:val="副标题 字符"/>
    <w:basedOn w:val="27"/>
    <w:link w:val="19"/>
    <w:qFormat/>
    <w:uiPriority w:val="11"/>
    <w:rPr>
      <w:rFonts w:ascii="等线 Light" w:hAnsi="等线 Light" w:eastAsia="等线 Light" w:cs="宋体"/>
      <w:color w:val="595959"/>
      <w:spacing w:val="15"/>
      <w:sz w:val="28"/>
      <w:szCs w:val="28"/>
    </w:rPr>
  </w:style>
  <w:style w:type="paragraph" w:styleId="43">
    <w:name w:val="Quote"/>
    <w:basedOn w:val="1"/>
    <w:next w:val="1"/>
    <w:link w:val="44"/>
    <w:qFormat/>
    <w:uiPriority w:val="29"/>
    <w:pPr>
      <w:spacing w:before="160" w:after="160"/>
      <w:jc w:val="center"/>
    </w:pPr>
    <w:rPr>
      <w:i/>
      <w:iCs/>
      <w:color w:val="3F3F3F"/>
    </w:rPr>
  </w:style>
  <w:style w:type="character" w:customStyle="1" w:styleId="44">
    <w:name w:val="引用 字符"/>
    <w:basedOn w:val="27"/>
    <w:link w:val="43"/>
    <w:qFormat/>
    <w:uiPriority w:val="29"/>
    <w:rPr>
      <w:rFonts w:ascii="Times New Roman" w:hAnsi="Times New Roman" w:eastAsia="方正仿宋_GBK"/>
      <w:i/>
      <w:iCs/>
      <w:color w:val="3F3F3F"/>
      <w:sz w:val="32"/>
    </w:rPr>
  </w:style>
  <w:style w:type="paragraph" w:styleId="45">
    <w:name w:val="List Paragraph"/>
    <w:basedOn w:val="1"/>
    <w:qFormat/>
    <w:uiPriority w:val="34"/>
    <w:pPr>
      <w:ind w:left="720"/>
      <w:contextualSpacing/>
    </w:pPr>
  </w:style>
  <w:style w:type="character" w:customStyle="1" w:styleId="46">
    <w:name w:val="明显强调1"/>
    <w:basedOn w:val="27"/>
    <w:qFormat/>
    <w:uiPriority w:val="21"/>
    <w:rPr>
      <w:i/>
      <w:iCs/>
      <w:color w:val="2F5597"/>
    </w:rPr>
  </w:style>
  <w:style w:type="paragraph" w:styleId="47">
    <w:name w:val="Intense Quote"/>
    <w:basedOn w:val="1"/>
    <w:next w:val="1"/>
    <w:link w:val="48"/>
    <w:qFormat/>
    <w:uiPriority w:val="30"/>
    <w:pPr>
      <w:pBdr>
        <w:top w:val="single" w:color="2F5496" w:sz="4" w:space="10"/>
        <w:bottom w:val="single" w:color="2F5496" w:sz="4" w:space="10"/>
      </w:pBdr>
      <w:spacing w:before="360" w:after="360"/>
      <w:ind w:left="864" w:right="864"/>
      <w:jc w:val="center"/>
    </w:pPr>
    <w:rPr>
      <w:i/>
      <w:iCs/>
      <w:color w:val="2F5597"/>
    </w:rPr>
  </w:style>
  <w:style w:type="character" w:customStyle="1" w:styleId="48">
    <w:name w:val="明显引用 字符"/>
    <w:basedOn w:val="27"/>
    <w:link w:val="47"/>
    <w:qFormat/>
    <w:uiPriority w:val="30"/>
    <w:rPr>
      <w:rFonts w:ascii="Times New Roman" w:hAnsi="Times New Roman" w:eastAsia="方正仿宋_GBK"/>
      <w:i/>
      <w:iCs/>
      <w:color w:val="2F5597"/>
      <w:sz w:val="32"/>
    </w:rPr>
  </w:style>
  <w:style w:type="character" w:customStyle="1" w:styleId="49">
    <w:name w:val="明显参考1"/>
    <w:basedOn w:val="27"/>
    <w:qFormat/>
    <w:uiPriority w:val="32"/>
    <w:rPr>
      <w:b/>
      <w:bCs/>
      <w:smallCaps/>
      <w:color w:val="2F5597"/>
      <w:spacing w:val="5"/>
    </w:rPr>
  </w:style>
  <w:style w:type="character" w:customStyle="1" w:styleId="50">
    <w:name w:val="页眉 字符"/>
    <w:basedOn w:val="27"/>
    <w:link w:val="17"/>
    <w:qFormat/>
    <w:uiPriority w:val="99"/>
    <w:rPr>
      <w:rFonts w:ascii="Times New Roman" w:hAnsi="Times New Roman" w:eastAsia="方正仿宋_GBK"/>
      <w:sz w:val="18"/>
      <w:szCs w:val="18"/>
    </w:rPr>
  </w:style>
  <w:style w:type="character" w:customStyle="1" w:styleId="51">
    <w:name w:val="页脚 字符"/>
    <w:basedOn w:val="27"/>
    <w:link w:val="16"/>
    <w:qFormat/>
    <w:uiPriority w:val="99"/>
    <w:rPr>
      <w:rFonts w:ascii="Times New Roman" w:hAnsi="Times New Roman" w:eastAsia="方正仿宋_GBK"/>
      <w:sz w:val="18"/>
      <w:szCs w:val="18"/>
    </w:rPr>
  </w:style>
  <w:style w:type="paragraph" w:customStyle="1" w:styleId="52">
    <w:name w:val="表格"/>
    <w:basedOn w:val="1"/>
    <w:qFormat/>
    <w:uiPriority w:val="0"/>
    <w:pPr>
      <w:spacing w:line="240" w:lineRule="auto"/>
      <w:ind w:firstLine="0" w:firstLineChars="0"/>
      <w:jc w:val="center"/>
    </w:pPr>
    <w:rPr>
      <w:rFonts w:hint="eastAsia"/>
      <w:sz w:val="24"/>
      <w:szCs w:val="21"/>
    </w:rPr>
  </w:style>
  <w:style w:type="character" w:customStyle="1" w:styleId="53">
    <w:name w:val="font11"/>
    <w:basedOn w:val="27"/>
    <w:qFormat/>
    <w:uiPriority w:val="0"/>
    <w:rPr>
      <w:rFonts w:hint="default" w:ascii="Times New Roman" w:hAnsi="Times New Roman" w:cs="Times New Roman"/>
      <w:color w:val="000000"/>
      <w:sz w:val="24"/>
      <w:szCs w:val="24"/>
      <w:u w:val="none"/>
    </w:rPr>
  </w:style>
  <w:style w:type="character" w:customStyle="1" w:styleId="54">
    <w:name w:val="font21"/>
    <w:basedOn w:val="27"/>
    <w:qFormat/>
    <w:uiPriority w:val="0"/>
    <w:rPr>
      <w:rFonts w:hint="eastAsia" w:ascii="宋体" w:hAnsi="宋体" w:eastAsia="宋体" w:cs="宋体"/>
      <w:color w:val="000000"/>
      <w:sz w:val="24"/>
      <w:szCs w:val="24"/>
      <w:u w:val="none"/>
    </w:rPr>
  </w:style>
  <w:style w:type="character" w:customStyle="1" w:styleId="55">
    <w:name w:val="批注框文本 字符"/>
    <w:basedOn w:val="27"/>
    <w:link w:val="15"/>
    <w:qFormat/>
    <w:uiPriority w:val="0"/>
    <w:rPr>
      <w:rFonts w:eastAsia="方正仿宋_GBK" w:cs="宋体"/>
      <w:kern w:val="2"/>
      <w:sz w:val="18"/>
      <w:szCs w:val="18"/>
      <w14:ligatures w14:val="standardContextual"/>
    </w:rPr>
  </w:style>
  <w:style w:type="paragraph" w:customStyle="1" w:styleId="56">
    <w:name w:val="修订1"/>
    <w:hidden/>
    <w:semiHidden/>
    <w:qFormat/>
    <w:uiPriority w:val="99"/>
    <w:rPr>
      <w:rFonts w:ascii="Times New Roman" w:hAnsi="Times New Roman" w:eastAsia="方正仿宋_GBK" w:cs="宋体"/>
      <w:kern w:val="2"/>
      <w:sz w:val="32"/>
      <w:szCs w:val="24"/>
      <w:lang w:val="en-US" w:eastAsia="zh-CN" w:bidi="ar-SA"/>
      <w14:ligatures w14:val="standardContextual"/>
    </w:rPr>
  </w:style>
  <w:style w:type="character" w:customStyle="1" w:styleId="57">
    <w:name w:val="批注文字 字符"/>
    <w:basedOn w:val="27"/>
    <w:link w:val="12"/>
    <w:qFormat/>
    <w:uiPriority w:val="0"/>
    <w:rPr>
      <w:rFonts w:eastAsia="方正仿宋_GBK" w:cs="宋体"/>
      <w:kern w:val="2"/>
      <w:sz w:val="32"/>
      <w:szCs w:val="24"/>
      <w14:ligatures w14:val="standardContextual"/>
    </w:rPr>
  </w:style>
  <w:style w:type="character" w:customStyle="1" w:styleId="58">
    <w:name w:val="批注主题 字符"/>
    <w:basedOn w:val="57"/>
    <w:link w:val="24"/>
    <w:qFormat/>
    <w:uiPriority w:val="0"/>
    <w:rPr>
      <w:rFonts w:eastAsia="方正仿宋_GBK" w:cs="宋体"/>
      <w:b/>
      <w:bCs/>
      <w:kern w:val="2"/>
      <w:sz w:val="32"/>
      <w:szCs w:val="24"/>
      <w14:ligatures w14:val="standardContextual"/>
    </w:rPr>
  </w:style>
  <w:style w:type="paragraph" w:customStyle="1" w:styleId="59">
    <w:name w:val="Revision"/>
    <w:hidden/>
    <w:unhideWhenUsed/>
    <w:qFormat/>
    <w:uiPriority w:val="99"/>
    <w:rPr>
      <w:rFonts w:ascii="Times New Roman" w:hAnsi="Times New Roman" w:eastAsia="方正仿宋_GBK" w:cs="宋体"/>
      <w:kern w:val="2"/>
      <w:sz w:val="3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108</Pages>
  <Words>2469</Words>
  <Characters>2757</Characters>
  <Lines>1808</Lines>
  <Paragraphs>1011</Paragraphs>
  <TotalTime>45</TotalTime>
  <ScaleCrop>false</ScaleCrop>
  <LinksUpToDate>false</LinksUpToDate>
  <CharactersWithSpaces>2929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2026-08-26T15:00:00Z</dcterms:created>
  <dc:creator>1026859323@qq.com</dc:creator>
  <cp:lastModifiedBy>Elaine</cp:lastModifiedBy>
  <dcterms:modified xsi:type="dcterms:W3CDTF">2026-09-09T03:49:08Z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eyJoZGlkIjoiOTZkNGFmN2NjYzg1ZWYyYTk3NDJkNmRhMjQxYWFhNDQiLCJ1c2VySWQiOiIyNDIxMTIyNzEifQ==</vt:lpwstr>
  </property>
  <property fmtid="{D5CDD505-2E9C-101B-9397-08002B2CF9AE}" pid="3" name="KSOProductBuildVer">
    <vt:lpwstr>2052-12.1.0.28043</vt:lpwstr>
  </property>
  <property fmtid="{D5CDD505-2E9C-101B-9397-08002B2CF9AE}" pid="4" name="ICV">
    <vt:lpwstr>B6A9E80CFC054A34A7260C3C7399DB11_13</vt:lpwstr>
  </property>
</Properties>
</file>